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COMPLIANCE MANAGEMENT REVIEW GUIDANCE</w:t>
      </w:r>
    </w:p>
    <w:p>
      <w:pPr>
        <w:spacing w:after="120"/>
      </w:pPr>
      <w:r>
        <w:rPr>
          <w:rFonts w:ascii="Cambria" w:hAnsi="Cambria" w:eastAsia="Cambria"/>
          <w:b/>
          <w:sz w:val="23"/>
        </w:rPr>
        <w:t>ISO 37301:2021 + Amd 1:2024</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Chief Compliance Officer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Help management-review owners turn CMS data into focused governance decisions rather than a document-reading exercise.</w:t>
      </w:r>
    </w:p>
    <w:p>
      <w:pPr>
        <w:pStyle w:val="Heading1"/>
        <w:keepNext/>
        <w:spacing w:before="120" w:after="60" w:line="252" w:lineRule="auto"/>
      </w:pPr>
      <w:r>
        <w:rPr>
          <w:rFonts w:ascii="Cambria" w:hAnsi="Cambria" w:eastAsia="Cambria"/>
          <w:b/>
          <w:color w:val="1F4E79"/>
          <w:sz w:val="24"/>
        </w:rPr>
        <w:t>2. Build a Decision-Ready Review Pack</w:t>
      </w:r>
    </w:p>
    <w:p>
      <w:pPr>
        <w:spacing w:before="0" w:after="80" w:line="252" w:lineRule="auto"/>
      </w:pPr>
      <w:r>
        <w:rPr>
          <w:rFonts w:ascii="Cambria" w:hAnsi="Cambria" w:eastAsia="Cambria"/>
          <w:i w:val="0"/>
          <w:sz w:val="20"/>
        </w:rPr>
        <w:t>Keep the core pack concise and trend-oriented. Each section should answer: what changed, why it matters, what evidence supports the conclusion, what management needs to decide and what happens next.</w:t>
      </w:r>
    </w:p>
    <w:tbl>
      <w:tblPr>
        <w:tblW w:type="auto" w:w="0"/>
        <w:jc w:val="center"/>
        <w:tblLayout w:type="fixed"/>
        <w:tblLook w:val="04A0"/>
      </w:tblPr>
      <w:tblGrid>
        <w:gridCol w:w="3118"/>
        <w:gridCol w:w="3118"/>
        <w:gridCol w:w="3118"/>
      </w:tblGrid>
      <w:tr>
        <w:trPr>
          <w:tblHeader w:val="true"/>
        </w:trPr>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Pack section</w:t>
            </w:r>
          </w:p>
        </w:tc>
        <w:tc>
          <w:tcPr>
            <w:tcW w:type="dxa" w:w="391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Useful management view</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Avoid</w:t>
            </w:r>
          </w:p>
        </w:tc>
      </w:tr>
      <w:tr>
        <w:trPr>
          <w:cantSplit/>
        </w:trPr>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Context / obligations</w:t>
            </w:r>
          </w:p>
        </w:tc>
        <w:tc>
          <w:tcPr>
            <w:tcW w:type="dxa" w:w="391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Material changes, affected areas, accountable response.</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Long lists of every external update.</w:t>
            </w:r>
          </w:p>
        </w:tc>
      </w:tr>
      <w:tr>
        <w:trPr>
          <w:cantSplit/>
        </w:trPr>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Risk / controls</w:t>
            </w:r>
          </w:p>
        </w:tc>
        <w:tc>
          <w:tcPr>
            <w:tcW w:type="dxa" w:w="391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Top risks, movement, weak controls, residual exposure.</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Unprioritized risk-register dumps.</w:t>
            </w:r>
          </w:p>
        </w:tc>
      </w:tr>
      <w:tr>
        <w:trPr>
          <w:cantSplit/>
        </w:trPr>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Objectives / KPI</w:t>
            </w:r>
          </w:p>
        </w:tc>
        <w:tc>
          <w:tcPr>
            <w:tcW w:type="dxa" w:w="391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Trend, target, exception, cause and decision.</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Percentages without context or data quality.</w:t>
            </w:r>
          </w:p>
        </w:tc>
      </w:tr>
      <w:tr>
        <w:trPr>
          <w:cantSplit/>
        </w:trPr>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Concerns / investigations</w:t>
            </w:r>
          </w:p>
        </w:tc>
        <w:tc>
          <w:tcPr>
            <w:tcW w:type="dxa" w:w="391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Aggregated trend, severity, timeliness and lessons learned.</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Unnecessary reporter or personal-case details.</w:t>
            </w:r>
          </w:p>
        </w:tc>
      </w:tr>
      <w:tr>
        <w:trPr>
          <w:cantSplit/>
        </w:trPr>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 evaluation</w:t>
            </w:r>
          </w:p>
        </w:tc>
        <w:tc>
          <w:tcPr>
            <w:tcW w:type="dxa" w:w="391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Recurring themes, material gaps, overdue actions and systemic causes.</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Reading every finding line-by-line.</w:t>
            </w:r>
          </w:p>
        </w:tc>
      </w:tr>
      <w:tr>
        <w:trPr>
          <w:cantSplit/>
        </w:trPr>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Third parties / suppliers</w:t>
            </w:r>
          </w:p>
        </w:tc>
        <w:tc>
          <w:tcPr>
            <w:tcW w:type="dxa" w:w="391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Risk-tier trend, material red flags, overdue remediation.</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Volume metrics with no risk context.</w:t>
            </w:r>
          </w:p>
        </w:tc>
      </w:tr>
      <w:tr>
        <w:trPr>
          <w:cantSplit/>
        </w:trPr>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Resources / culture</w:t>
            </w:r>
          </w:p>
        </w:tc>
        <w:tc>
          <w:tcPr>
            <w:tcW w:type="dxa" w:w="391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Capacity constraints, competence needs, independence and culture indicators.</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Generic training counts only.</w:t>
            </w:r>
          </w:p>
        </w:tc>
      </w:tr>
    </w:tbl>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Where sensitive investigations, whistleblower data, personal data or legal advice are involved, use an appropriately restricted annex or separate briefing rather than circulating unnecessary detail in the general review pack.</w:t>
            </w:r>
          </w:p>
        </w:tc>
      </w:tr>
    </w:tbl>
    <w:p>
      <w:pPr>
        <w:spacing w:after="20"/>
      </w:pPr>
    </w:p>
    <w:p>
      <w:pPr>
        <w:pStyle w:val="Heading1"/>
        <w:keepNext/>
        <w:spacing w:before="120" w:after="60" w:line="252" w:lineRule="auto"/>
      </w:pPr>
      <w:r>
        <w:rPr>
          <w:rFonts w:ascii="Cambria" w:hAnsi="Cambria" w:eastAsia="Cambria"/>
          <w:b/>
          <w:color w:val="1F4E79"/>
          <w:sz w:val="24"/>
        </w:rPr>
        <w:t>3. Recommended Review Flow</w:t>
      </w:r>
    </w:p>
    <w:p>
      <w:pPr>
        <w:pStyle w:val="ListBullet"/>
        <w:spacing w:before="0" w:after="50" w:line="252" w:lineRule="auto"/>
      </w:pPr>
      <w:r>
        <w:rPr>
          <w:rFonts w:ascii="Cambria" w:hAnsi="Cambria" w:eastAsia="Cambria"/>
          <w:sz w:val="20"/>
        </w:rPr>
        <w:t>Confirm previous decisions and overdue actions first.</w:t>
      </w:r>
    </w:p>
    <w:p>
      <w:pPr>
        <w:pStyle w:val="ListBullet"/>
        <w:spacing w:before="0" w:after="50" w:line="252" w:lineRule="auto"/>
      </w:pPr>
      <w:r>
        <w:rPr>
          <w:rFonts w:ascii="Cambria" w:hAnsi="Cambria" w:eastAsia="Cambria"/>
          <w:sz w:val="20"/>
        </w:rPr>
        <w:t>Discuss significant changes in context, obligations and risk.</w:t>
      </w:r>
    </w:p>
    <w:p>
      <w:pPr>
        <w:pStyle w:val="ListBullet"/>
        <w:spacing w:before="0" w:after="50" w:line="252" w:lineRule="auto"/>
      </w:pPr>
      <w:r>
        <w:rPr>
          <w:rFonts w:ascii="Cambria" w:hAnsi="Cambria" w:eastAsia="Cambria"/>
          <w:sz w:val="20"/>
        </w:rPr>
        <w:t>Review performance indicators and evidence quality—not just whether targets are green.</w:t>
      </w:r>
    </w:p>
    <w:p>
      <w:pPr>
        <w:pStyle w:val="ListBullet"/>
        <w:spacing w:before="0" w:after="50" w:line="252" w:lineRule="auto"/>
      </w:pPr>
      <w:r>
        <w:rPr>
          <w:rFonts w:ascii="Cambria" w:hAnsi="Cambria" w:eastAsia="Cambria"/>
          <w:sz w:val="20"/>
        </w:rPr>
        <w:t>Focus on recurring control failures, substantiated concern themes and high-risk third parties.</w:t>
      </w:r>
    </w:p>
    <w:p>
      <w:pPr>
        <w:pStyle w:val="ListBullet"/>
        <w:spacing w:before="0" w:after="50" w:line="252" w:lineRule="auto"/>
      </w:pPr>
      <w:r>
        <w:rPr>
          <w:rFonts w:ascii="Cambria" w:hAnsi="Cambria" w:eastAsia="Cambria"/>
          <w:sz w:val="20"/>
        </w:rPr>
        <w:t>Make explicit decisions on resources, priorities, objective changes and risk response.</w:t>
      </w:r>
    </w:p>
    <w:p>
      <w:pPr>
        <w:pStyle w:val="ListBullet"/>
        <w:spacing w:before="0" w:after="50" w:line="252" w:lineRule="auto"/>
      </w:pPr>
      <w:r>
        <w:rPr>
          <w:rFonts w:ascii="Cambria" w:hAnsi="Cambria" w:eastAsia="Cambria"/>
          <w:sz w:val="20"/>
        </w:rPr>
        <w:t>Assign every action an accountable owner, due date and required closure evidence.</w:t>
      </w:r>
    </w:p>
    <w:p>
      <w:pPr>
        <w:pStyle w:val="ListBullet"/>
        <w:spacing w:before="0" w:after="50" w:line="252" w:lineRule="auto"/>
      </w:pPr>
      <w:r>
        <w:rPr>
          <w:rFonts w:ascii="Cambria" w:hAnsi="Cambria" w:eastAsia="Cambria"/>
          <w:sz w:val="20"/>
        </w:rPr>
        <w:t>Confirm what must be escalated to the governing body or specialist function.</w:t>
      </w:r>
    </w:p>
    <w:p>
      <w:pPr>
        <w:pStyle w:val="Heading1"/>
        <w:keepNext/>
        <w:spacing w:before="120" w:after="60" w:line="252" w:lineRule="auto"/>
      </w:pPr>
      <w:r>
        <w:rPr>
          <w:rFonts w:ascii="Cambria" w:hAnsi="Cambria" w:eastAsia="Cambria"/>
          <w:b/>
          <w:color w:val="1F4E79"/>
          <w:sz w:val="24"/>
        </w:rPr>
        <w:t>4. Questions Management Should Ask</w:t>
      </w:r>
    </w:p>
    <w:p>
      <w:pPr>
        <w:pStyle w:val="ListBullet"/>
        <w:spacing w:before="0" w:after="50" w:line="252" w:lineRule="auto"/>
      </w:pPr>
      <w:r>
        <w:rPr>
          <w:rFonts w:ascii="Cambria" w:hAnsi="Cambria" w:eastAsia="Cambria"/>
          <w:sz w:val="20"/>
        </w:rPr>
        <w:t>Which obligations or risks have changed materially since the last review?</w:t>
      </w:r>
    </w:p>
    <w:p>
      <w:pPr>
        <w:pStyle w:val="ListBullet"/>
        <w:spacing w:before="0" w:after="50" w:line="252" w:lineRule="auto"/>
      </w:pPr>
      <w:r>
        <w:rPr>
          <w:rFonts w:ascii="Cambria" w:hAnsi="Cambria" w:eastAsia="Cambria"/>
          <w:sz w:val="20"/>
        </w:rPr>
        <w:t>Where are we relying on weak, manual or unverified controls?</w:t>
      </w:r>
    </w:p>
    <w:p>
      <w:pPr>
        <w:pStyle w:val="ListBullet"/>
        <w:spacing w:before="0" w:after="50" w:line="252" w:lineRule="auto"/>
      </w:pPr>
      <w:r>
        <w:rPr>
          <w:rFonts w:ascii="Cambria" w:hAnsi="Cambria" w:eastAsia="Cambria"/>
          <w:sz w:val="20"/>
        </w:rPr>
        <w:t>Which compliance conclusions lack objective evidence?</w:t>
      </w:r>
    </w:p>
    <w:p>
      <w:pPr>
        <w:pStyle w:val="ListBullet"/>
        <w:spacing w:before="0" w:after="50" w:line="252" w:lineRule="auto"/>
      </w:pPr>
      <w:r>
        <w:rPr>
          <w:rFonts w:ascii="Cambria" w:hAnsi="Cambria" w:eastAsia="Cambria"/>
          <w:sz w:val="20"/>
        </w:rPr>
        <w:t>Are speak-up and investigation trends revealing systemic issues?</w:t>
      </w:r>
    </w:p>
    <w:p>
      <w:pPr>
        <w:pStyle w:val="ListBullet"/>
        <w:spacing w:before="0" w:after="50" w:line="252" w:lineRule="auto"/>
      </w:pPr>
      <w:r>
        <w:rPr>
          <w:rFonts w:ascii="Cambria" w:hAnsi="Cambria" w:eastAsia="Cambria"/>
          <w:sz w:val="20"/>
        </w:rPr>
        <w:t>Are overdue actions concentrated in a function, geography or risk type?</w:t>
      </w:r>
    </w:p>
    <w:p>
      <w:pPr>
        <w:pStyle w:val="ListBullet"/>
        <w:spacing w:before="0" w:after="50" w:line="252" w:lineRule="auto"/>
      </w:pPr>
      <w:r>
        <w:rPr>
          <w:rFonts w:ascii="Cambria" w:hAnsi="Cambria" w:eastAsia="Cambria"/>
          <w:sz w:val="20"/>
        </w:rPr>
        <w:t>Do resources and independence match the current risk profile?</w:t>
      </w:r>
    </w:p>
    <w:p>
      <w:pPr>
        <w:pStyle w:val="ListBullet"/>
        <w:spacing w:before="0" w:after="50" w:line="252" w:lineRule="auto"/>
      </w:pPr>
      <w:r>
        <w:rPr>
          <w:rFonts w:ascii="Cambria" w:hAnsi="Cambria" w:eastAsia="Cambria"/>
          <w:sz w:val="20"/>
        </w:rPr>
        <w:t>Are incentives, targets or business pressure creating unwanted compliance behavior?</w:t>
      </w:r>
    </w:p>
    <w:p>
      <w:pPr>
        <w:pStyle w:val="ListBullet"/>
        <w:spacing w:before="0" w:after="50" w:line="252" w:lineRule="auto"/>
      </w:pPr>
      <w:r>
        <w:rPr>
          <w:rFonts w:ascii="Cambria" w:hAnsi="Cambria" w:eastAsia="Cambria"/>
          <w:sz w:val="20"/>
        </w:rPr>
        <w:t>What evidence shows prior corrective actions actually worked?</w:t>
      </w:r>
    </w:p>
    <w:p>
      <w:pPr>
        <w:pStyle w:val="Heading1"/>
        <w:keepNext/>
        <w:spacing w:before="120" w:after="60" w:line="252" w:lineRule="auto"/>
      </w:pPr>
      <w:r>
        <w:rPr>
          <w:rFonts w:ascii="Cambria" w:hAnsi="Cambria" w:eastAsia="Cambria"/>
          <w:b/>
          <w:color w:val="1F4E79"/>
          <w:sz w:val="24"/>
        </w:rPr>
        <w:t>5. Five Illustrative Management Decisions</w:t>
      </w:r>
    </w:p>
    <w:tbl>
      <w:tblPr>
        <w:tblW w:type="auto" w:w="0"/>
        <w:jc w:val="center"/>
        <w:tblLayout w:type="fixed"/>
        <w:tblLook w:val="04A0"/>
      </w:tblPr>
      <w:tblGrid>
        <w:gridCol w:w="2339"/>
        <w:gridCol w:w="2339"/>
        <w:gridCol w:w="2339"/>
        <w:gridCol w:w="2339"/>
      </w:tblGrid>
      <w:tr>
        <w:trPr>
          <w:tblHeader w:val="true"/>
        </w:trPr>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Illustrative Data</w:t>
            </w:r>
          </w:p>
        </w:tc>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Evidence Presented</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Management Decision</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Required Follow-Up</w:t>
            </w:r>
          </w:p>
        </w:tc>
      </w:tr>
      <w:tr>
        <w:trPr>
          <w:cantSplit/>
        </w:trPr>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EX-MRG-01</w:t>
            </w:r>
          </w:p>
        </w:tc>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High-risk obligation-source ownership is incomplete.</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Assign source owners and monthly transition oversight.</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Updated register and verification sample.</w:t>
            </w:r>
          </w:p>
        </w:tc>
      </w:tr>
      <w:tr>
        <w:trPr>
          <w:cantSplit/>
        </w:trPr>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EX-MRG-02</w:t>
            </w:r>
          </w:p>
        </w:tc>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Third-party refresh backlog exceeds agreed risk tolerance.</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Allocate temporary review capacity and prioritize highest-risk cases.</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Monthly backlog trend and closure evidence.</w:t>
            </w:r>
          </w:p>
        </w:tc>
      </w:tr>
      <w:tr>
        <w:trPr>
          <w:cantSplit/>
        </w:trPr>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EX-MRG-03</w:t>
            </w:r>
          </w:p>
        </w:tc>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Investigation closure time is improving but root-cause coding is inconsistent.</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Standardize cause taxonomy and QA review.</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Updated case template and quality review sample.</w:t>
            </w:r>
          </w:p>
        </w:tc>
      </w:tr>
      <w:tr>
        <w:trPr>
          <w:cantSplit/>
        </w:trPr>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EX-MRG-04</w:t>
            </w:r>
          </w:p>
        </w:tc>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Training completion is high but repeat violations persist in one process.</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Shift from generic training to control/process redesign and targeted coaching.</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Control redesign evidence and trend check.</w:t>
            </w:r>
          </w:p>
        </w:tc>
      </w:tr>
      <w:tr>
        <w:trPr>
          <w:cantSplit/>
        </w:trPr>
        <w:tc>
          <w:tcPr>
            <w:tcW w:type="dxa" w:w="147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EX-MRG-05</w:t>
            </w:r>
          </w:p>
        </w:tc>
        <w:tc>
          <w:tcPr>
            <w:tcW w:type="dxa" w:w="317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Compliance monitoring is heavily manual and limits timely detection.</w:t>
            </w:r>
          </w:p>
        </w:tc>
        <w:tc>
          <w:tcPr>
            <w:tcW w:type="dxa" w:w="311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 phased automation assessment and investment proposal.</w:t>
            </w:r>
          </w:p>
        </w:tc>
        <w:tc>
          <w:tcPr>
            <w:tcW w:type="dxa" w:w="15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Business case, risk reduction and implementation milestones.</w:t>
            </w:r>
          </w:p>
        </w:tc>
      </w:tr>
    </w:tbl>
    <w:p>
      <w:pPr>
        <w:pStyle w:val="Heading1"/>
        <w:keepNext/>
        <w:spacing w:before="120" w:after="60" w:line="252" w:lineRule="auto"/>
      </w:pPr>
      <w:r>
        <w:rPr>
          <w:rFonts w:ascii="Cambria" w:hAnsi="Cambria" w:eastAsia="Cambria"/>
          <w:b/>
          <w:color w:val="1F4E79"/>
          <w:sz w:val="24"/>
        </w:rPr>
        <w:t>6. Recording Minutes</w:t>
      </w:r>
    </w:p>
    <w:p>
      <w:pPr>
        <w:spacing w:before="0" w:after="80" w:line="252" w:lineRule="auto"/>
      </w:pPr>
      <w:r>
        <w:rPr>
          <w:rFonts w:ascii="Cambria" w:hAnsi="Cambria" w:eastAsia="Cambria"/>
          <w:i w:val="0"/>
          <w:sz w:val="20"/>
        </w:rPr>
        <w:t>Minutes should record the evidence considered, major conclusions, decisions, actions, owners, due dates and escalations. They do not need to reproduce every presentation slide or confidential case detail. Clearly distinguish factual information from management judgement and future actions.</w:t>
      </w:r>
    </w:p>
    <w:p>
      <w:pPr>
        <w:pStyle w:val="Heading1"/>
        <w:keepNext/>
        <w:spacing w:before="120" w:after="60" w:line="252" w:lineRule="auto"/>
      </w:pPr>
      <w:r>
        <w:rPr>
          <w:rFonts w:ascii="Cambria" w:hAnsi="Cambria" w:eastAsia="Cambria"/>
          <w:b/>
          <w:color w:val="1F4E79"/>
          <w:sz w:val="24"/>
        </w:rPr>
        <w:t>7. Follow-Up and Effectiveness</w:t>
      </w:r>
    </w:p>
    <w:p>
      <w:pPr>
        <w:spacing w:before="0" w:after="80" w:line="252" w:lineRule="auto"/>
      </w:pPr>
      <w:r>
        <w:rPr>
          <w:rFonts w:ascii="Cambria" w:hAnsi="Cambria" w:eastAsia="Cambria"/>
          <w:i w:val="0"/>
          <w:sz w:val="20"/>
        </w:rPr>
        <w:t>Carry overdue actions forward with escalation where needed. For material improvements, define how effectiveness will be verified. Closure based only on “document issued” is insufficient when the intended result is an operating control or risk reduction.</w:t>
      </w:r>
    </w:p>
    <w:p>
      <w:pPr>
        <w:pStyle w:val="Heading1"/>
        <w:keepNext/>
        <w:spacing w:before="120" w:after="60" w:line="252" w:lineRule="auto"/>
      </w:pPr>
      <w:r>
        <w:rPr>
          <w:rFonts w:ascii="Cambria" w:hAnsi="Cambria" w:eastAsia="Cambria"/>
          <w:b/>
          <w:color w:val="1F4E79"/>
          <w:sz w:val="24"/>
        </w:rPr>
        <w:t>8. Common Failure Modes</w:t>
      </w:r>
    </w:p>
    <w:p>
      <w:pPr>
        <w:pStyle w:val="ListBullet"/>
        <w:spacing w:before="0" w:after="50" w:line="252" w:lineRule="auto"/>
      </w:pPr>
      <w:r>
        <w:rPr>
          <w:rFonts w:ascii="Cambria" w:hAnsi="Cambria" w:eastAsia="Cambria"/>
          <w:sz w:val="20"/>
        </w:rPr>
        <w:t>review pack is too large and management spends time reading rather than deciding;</w:t>
      </w:r>
    </w:p>
    <w:p>
      <w:pPr>
        <w:pStyle w:val="ListBullet"/>
        <w:spacing w:before="0" w:after="50" w:line="252" w:lineRule="auto"/>
      </w:pPr>
      <w:r>
        <w:rPr>
          <w:rFonts w:ascii="Cambria" w:hAnsi="Cambria" w:eastAsia="Cambria"/>
          <w:sz w:val="20"/>
        </w:rPr>
        <w:t>all indicators are activity counts with no risk/performance interpretation;</w:t>
      </w:r>
    </w:p>
    <w:p>
      <w:pPr>
        <w:pStyle w:val="ListBullet"/>
        <w:spacing w:before="0" w:after="50" w:line="252" w:lineRule="auto"/>
      </w:pPr>
      <w:r>
        <w:rPr>
          <w:rFonts w:ascii="Cambria" w:hAnsi="Cambria" w:eastAsia="Cambria"/>
          <w:sz w:val="20"/>
        </w:rPr>
        <w:t>material investigation or compliance-evaluation themes are omitted because information is sensitive;</w:t>
      </w:r>
    </w:p>
    <w:p>
      <w:pPr>
        <w:pStyle w:val="ListBullet"/>
        <w:spacing w:before="0" w:after="50" w:line="252" w:lineRule="auto"/>
      </w:pPr>
      <w:r>
        <w:rPr>
          <w:rFonts w:ascii="Cambria" w:hAnsi="Cambria" w:eastAsia="Cambria"/>
          <w:sz w:val="20"/>
        </w:rPr>
        <w:t>actions have no due dates or closure evidence;</w:t>
      </w:r>
    </w:p>
    <w:p>
      <w:pPr>
        <w:pStyle w:val="ListBullet"/>
        <w:spacing w:before="0" w:after="50" w:line="252" w:lineRule="auto"/>
      </w:pPr>
      <w:r>
        <w:rPr>
          <w:rFonts w:ascii="Cambria" w:hAnsi="Cambria" w:eastAsia="Cambria"/>
          <w:sz w:val="20"/>
        </w:rPr>
        <w:t>previous decisions are not followed through;</w:t>
      </w:r>
    </w:p>
    <w:p>
      <w:pPr>
        <w:pStyle w:val="ListBullet"/>
        <w:spacing w:before="0" w:after="50" w:line="252" w:lineRule="auto"/>
      </w:pPr>
      <w:r>
        <w:rPr>
          <w:rFonts w:ascii="Cambria" w:hAnsi="Cambria" w:eastAsia="Cambria"/>
          <w:sz w:val="20"/>
        </w:rPr>
        <w:t>review ignores changes in organization context, stakeholder expectations or obligation sources.</w:t>
      </w:r>
    </w:p>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Reference</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Use in this document</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Source / Location</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ISO 37301:2021</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Compliance management systems — requirements with guidance for use</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https://www.iso.org/standard/75080.html</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ISO 37301:2021/Amd 1:2024</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Climate action changes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https://www.iso.org/standard/88422.html</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Organization CMS documented information</w:t>
            </w:r>
          </w:p>
        </w:tc>
        <w:tc>
          <w:tcPr>
            <w:tcW w:type="dxa" w:w="430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Applicable policies, registers, procedures, audit records and management-review records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[INTERNAL SOURCE / REPOSITORY]</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Chief Compliance Officer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Compliance Management Review Guidance</w:t>
          </w:r>
        </w:p>
      </w:tc>
      <w:tc>
        <w:tcPr>
          <w:tcW w:type="dxa" w:w="2324"/>
          <w:tcMar>
            <w:top w:w="20" w:type="dxa"/>
            <w:left w:w="40" w:type="dxa"/>
            <w:bottom w:w="20" w:type="dxa"/>
            <w:right w:w="40" w:type="dxa"/>
          </w:tcMar>
        </w:tcPr>
        <w:p>
          <w:pPr>
            <w:jc w:val="right"/>
          </w:pPr>
          <w:r>
            <w:rPr>
              <w:rFonts w:ascii="Cambria" w:hAnsi="Cambria" w:eastAsia="Cambria"/>
              <w:b/>
              <w:color w:val="666666"/>
              <w:sz w:val="16"/>
            </w:rPr>
            <w:t>CMS-GOV-006</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