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spacing w:before="440" w:after="200"/>
        <w:jc w:val="center"/>
      </w:pPr>
      <w:r>
        <w:rPr>
          <w:rFonts w:ascii="Cambria" w:hAnsi="Cambria" w:eastAsia="Cambria"/>
          <w:b/>
          <w:color w:val="1F4E79"/>
          <w:sz w:val="44"/>
        </w:rPr>
        <w:t>COMPLIANCE MANAGEMENT REVIEW AGENDA &amp; MINUTES</w:t>
      </w:r>
    </w:p>
    <w:p>
      <w:pPr>
        <w:spacing w:after="320"/>
        <w:jc w:val="center"/>
      </w:pPr>
      <w:r>
        <w:rPr>
          <w:rFonts w:ascii="Cambria" w:hAnsi="Cambria" w:eastAsia="Cambria"/>
          <w:b/>
          <w:color w:val="000000"/>
          <w:sz w:val="24"/>
        </w:rPr>
        <w:t>ISO 37301:2021 + Amd 1:2024</w:t>
      </w:r>
    </w:p>
    <w:p>
      <w:pPr>
        <w:spacing w:after="360"/>
        <w:jc w:val="center"/>
      </w:pPr>
      <w:r>
        <w:rPr>
          <w:rFonts w:ascii="Cambria" w:hAnsi="Cambria" w:eastAsia="Cambria"/>
          <w:i/>
          <w:color w:val="666666"/>
          <w:sz w:val="22"/>
        </w:rPr>
        <w:t>Agenda, Minutes and Action Record</w:t>
      </w:r>
    </w:p>
    <w:tbl>
      <w:tblPr>
        <w:tblW w:type="auto" w:w="0"/>
        <w:jc w:val="center"/>
        <w:tblLayout w:type="fixed"/>
        <w:tblLook w:val="04A0"/>
      </w:tblPr>
      <w:tblGrid>
        <w:gridCol w:w="4677"/>
        <w:gridCol w:w="4677"/>
      </w:tblGrid>
      <w:tr>
        <w:trPr>
          <w:tblHeader w:val="true"/>
        </w:trPr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8"/>
              </w:rPr>
              <w:t>Document Owner</w:t>
            </w:r>
          </w:p>
        </w:tc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8"/>
              </w:rPr>
              <w:t>Approver</w:t>
            </w:r>
          </w:p>
        </w:tc>
      </w:tr>
      <w:tr>
        <w:trPr>
          <w:cantSplit/>
        </w:trPr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8"/>
              </w:rPr>
              <w:t>Chief Compliance Officer / CMS Coordinator</w:t>
            </w:r>
          </w:p>
        </w:tc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8"/>
              </w:rPr>
              <w:t>Top Management</w:t>
            </w:r>
          </w:p>
        </w:tc>
      </w:tr>
      <w:tr>
        <w:trPr>
          <w:cantSplit/>
        </w:trPr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8"/>
              </w:rPr>
              <w:t>Classification: INTERNAL</w:t>
            </w:r>
          </w:p>
        </w:tc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8"/>
              </w:rPr>
              <w:t>Next Review: 2027-09-18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autofit"/>
        <w:tblLook w:val="04A0"/>
      </w:tblPr>
      <w:tblGrid>
        <w:gridCol w:w="9355"/>
      </w:tblGrid>
      <w:tr>
        <w:tc>
          <w:tcPr>
            <w:tcW w:type="dxa" w:w="9355"/>
            <w:tcBorders>
              <w:top w:val="single" w:sz="3" w:space="0" w:color="E6D690"/>
              <w:left w:val="single" w:sz="3" w:space="0" w:color="E6D690"/>
              <w:bottom w:val="single" w:sz="3" w:space="0" w:color="E6D690"/>
              <w:right w:val="single" w:sz="3" w:space="0" w:color="E6D690"/>
              <w:insideH w:val="single" w:sz="3" w:space="0" w:color="E6D690"/>
              <w:insideV w:val="single" w:sz="3" w:space="0" w:color="E6D690"/>
            </w:tcBorders>
            <w:shd w:fill="FFF2CC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keepLines/>
              <w:spacing w:before="0" w:after="0" w:line="252" w:lineRule="auto"/>
            </w:pPr>
            <w:r>
              <w:rPr>
                <w:rFonts w:ascii="Cambria" w:hAnsi="Cambria" w:eastAsia="Cambria"/>
                <w:b/>
                <w:i/>
                <w:color w:val="C00000"/>
                <w:sz w:val="18"/>
              </w:rPr>
              <w:t xml:space="preserve">[Note] </w:t>
            </w:r>
            <w:r>
              <w:rPr>
                <w:rFonts w:ascii="Cambria" w:hAnsi="Cambria" w:eastAsia="Cambria"/>
                <w:i/>
                <w:color w:val="C00000"/>
                <w:sz w:val="18"/>
              </w:rPr>
              <w:t>Use this template for the controlled management-review record. Remove or replace Illustrative Data before formal use. Keep sensitive investigation, reporter, personal or legally privileged details in restricted annexes where appropriate.</w:t>
            </w:r>
          </w:p>
        </w:tc>
      </w:tr>
    </w:tbl>
    <w:p>
      <w:pPr>
        <w:spacing w:after="20"/>
      </w:pP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1. Meeting Information</w:t>
      </w:r>
    </w:p>
    <w:tbl>
      <w:tblPr>
        <w:tblW w:type="auto" w:w="0"/>
        <w:jc w:val="center"/>
        <w:tblLayout w:type="fixed"/>
        <w:tblLook w:val="04A0"/>
      </w:tblPr>
      <w:tblGrid>
        <w:gridCol w:w="2339"/>
        <w:gridCol w:w="2339"/>
        <w:gridCol w:w="2339"/>
        <w:gridCol w:w="2339"/>
      </w:tblGrid>
      <w:tr>
        <w:trPr>
          <w:tblHeader w:val="true"/>
        </w:trPr>
        <w:tc>
          <w:tcPr>
            <w:tcW w:type="dxa" w:w="192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Field</w:t>
            </w:r>
          </w:p>
        </w:tc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Entry</w:t>
            </w:r>
          </w:p>
        </w:tc>
        <w:tc>
          <w:tcPr>
            <w:tcW w:type="dxa" w:w="192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Field</w:t>
            </w:r>
          </w:p>
        </w:tc>
        <w:tc>
          <w:tcPr>
            <w:tcW w:type="dxa" w:w="277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Entry</w:t>
            </w:r>
          </w:p>
        </w:tc>
      </w:tr>
      <w:tr>
        <w:trPr>
          <w:cantSplit/>
        </w:trPr>
        <w:tc>
          <w:tcPr>
            <w:tcW w:type="dxa" w:w="192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Meeting Date</w:t>
            </w:r>
          </w:p>
        </w:tc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[YYYY-MM-DD]</w:t>
            </w:r>
          </w:p>
        </w:tc>
        <w:tc>
          <w:tcPr>
            <w:tcW w:type="dxa" w:w="192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Meeting Ref.</w:t>
            </w:r>
          </w:p>
        </w:tc>
        <w:tc>
          <w:tcPr>
            <w:tcW w:type="dxa" w:w="277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[CMS-MR-YYYY-##]</w:t>
            </w:r>
          </w:p>
        </w:tc>
      </w:tr>
      <w:tr>
        <w:trPr>
          <w:cantSplit/>
        </w:trPr>
        <w:tc>
          <w:tcPr>
            <w:tcW w:type="dxa" w:w="192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Chair</w:t>
            </w:r>
          </w:p>
        </w:tc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[NAME / ROLE]</w:t>
            </w:r>
          </w:p>
        </w:tc>
        <w:tc>
          <w:tcPr>
            <w:tcW w:type="dxa" w:w="192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Secretary</w:t>
            </w:r>
          </w:p>
        </w:tc>
        <w:tc>
          <w:tcPr>
            <w:tcW w:type="dxa" w:w="277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[NAME / ROLE]</w:t>
            </w:r>
          </w:p>
        </w:tc>
      </w:tr>
      <w:tr>
        <w:trPr>
          <w:cantSplit/>
        </w:trPr>
        <w:tc>
          <w:tcPr>
            <w:tcW w:type="dxa" w:w="192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Review Period</w:t>
            </w:r>
          </w:p>
        </w:tc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[FROM – TO]</w:t>
            </w:r>
          </w:p>
        </w:tc>
        <w:tc>
          <w:tcPr>
            <w:tcW w:type="dxa" w:w="192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Location / Method</w:t>
            </w:r>
          </w:p>
        </w:tc>
        <w:tc>
          <w:tcPr>
            <w:tcW w:type="dxa" w:w="277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[LOCATION / VIRTUAL]</w:t>
            </w:r>
          </w:p>
        </w:tc>
      </w:tr>
      <w:tr>
        <w:trPr>
          <w:cantSplit/>
        </w:trPr>
        <w:tc>
          <w:tcPr>
            <w:tcW w:type="dxa" w:w="192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CMS Scope</w:t>
            </w:r>
          </w:p>
        </w:tc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[SCOPE]</w:t>
            </w:r>
          </w:p>
        </w:tc>
        <w:tc>
          <w:tcPr>
            <w:tcW w:type="dxa" w:w="192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Classification</w:t>
            </w:r>
          </w:p>
        </w:tc>
        <w:tc>
          <w:tcPr>
            <w:tcW w:type="dxa" w:w="277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INTERNAL / [RESTRICTED IF NEEDED]</w:t>
            </w:r>
          </w:p>
        </w:tc>
      </w:tr>
    </w:tbl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2. Attendance and Governance</w:t>
      </w:r>
    </w:p>
    <w:tbl>
      <w:tblPr>
        <w:tblW w:type="auto" w:w="0"/>
        <w:jc w:val="center"/>
        <w:tblLayout w:type="fixed"/>
        <w:tblLook w:val="04A0"/>
      </w:tblPr>
      <w:tblGrid>
        <w:gridCol w:w="2339"/>
        <w:gridCol w:w="2339"/>
        <w:gridCol w:w="2339"/>
        <w:gridCol w:w="2339"/>
      </w:tblGrid>
      <w:tr>
        <w:trPr>
          <w:tblHeader w:val="true"/>
        </w:trPr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Name / Role</w:t>
            </w:r>
          </w:p>
        </w:tc>
        <w:tc>
          <w:tcPr>
            <w:tcW w:type="dxa" w:w="226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Function</w:t>
            </w:r>
          </w:p>
        </w:tc>
        <w:tc>
          <w:tcPr>
            <w:tcW w:type="dxa" w:w="181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Attendance</w:t>
            </w:r>
          </w:p>
        </w:tc>
        <w:tc>
          <w:tcPr>
            <w:tcW w:type="dxa" w:w="255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Conflict / Confidentiality Note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[ROLE / NAME]</w:t>
            </w:r>
          </w:p>
        </w:tc>
        <w:tc>
          <w:tcPr>
            <w:tcW w:type="dxa" w:w="226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[FUNCTION]</w:t>
            </w:r>
          </w:p>
        </w:tc>
        <w:tc>
          <w:tcPr>
            <w:tcW w:type="dxa" w:w="181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Present / Apology</w:t>
            </w:r>
          </w:p>
        </w:tc>
        <w:tc>
          <w:tcPr>
            <w:tcW w:type="dxa" w:w="255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[ROLE / NAME]</w:t>
            </w:r>
          </w:p>
        </w:tc>
        <w:tc>
          <w:tcPr>
            <w:tcW w:type="dxa" w:w="226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[FUNCTION]</w:t>
            </w:r>
          </w:p>
        </w:tc>
        <w:tc>
          <w:tcPr>
            <w:tcW w:type="dxa" w:w="181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Present / Apology</w:t>
            </w:r>
          </w:p>
        </w:tc>
        <w:tc>
          <w:tcPr>
            <w:tcW w:type="dxa" w:w="255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[ROLE / NAME]</w:t>
            </w:r>
          </w:p>
        </w:tc>
        <w:tc>
          <w:tcPr>
            <w:tcW w:type="dxa" w:w="226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[FUNCTION]</w:t>
            </w:r>
          </w:p>
        </w:tc>
        <w:tc>
          <w:tcPr>
            <w:tcW w:type="dxa" w:w="181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Present / Apology</w:t>
            </w:r>
          </w:p>
        </w:tc>
        <w:tc>
          <w:tcPr>
            <w:tcW w:type="dxa" w:w="255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</w:r>
          </w:p>
        </w:tc>
      </w:tr>
    </w:tbl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3. Agenda and Minutes</w:t>
      </w:r>
    </w:p>
    <w:tbl>
      <w:tblPr>
        <w:tblW w:type="auto" w:w="0"/>
        <w:jc w:val="center"/>
        <w:tblLayout w:type="fixed"/>
        <w:tblLook w:val="04A0"/>
      </w:tblPr>
      <w:tblGrid>
        <w:gridCol w:w="3118"/>
        <w:gridCol w:w="3118"/>
        <w:gridCol w:w="3118"/>
      </w:tblGrid>
      <w:tr>
        <w:trPr>
          <w:tblHeader w:val="true"/>
        </w:trPr>
        <w:tc>
          <w:tcPr>
            <w:tcW w:type="dxa" w:w="68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No.</w:t>
            </w:r>
          </w:p>
        </w:tc>
        <w:tc>
          <w:tcPr>
            <w:tcW w:type="dxa" w:w="255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Agenda Item</w:t>
            </w:r>
          </w:p>
        </w:tc>
        <w:tc>
          <w:tcPr>
            <w:tcW w:type="dxa" w:w="612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Evidence / Discussion Prompt</w:t>
            </w:r>
          </w:p>
        </w:tc>
      </w:tr>
      <w:tr>
        <w:trPr>
          <w:cantSplit/>
        </w:trPr>
        <w:tc>
          <w:tcPr>
            <w:tcW w:type="dxa" w:w="68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1</w:t>
            </w:r>
          </w:p>
        </w:tc>
        <w:tc>
          <w:tcPr>
            <w:tcW w:type="dxa" w:w="255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Previous review actions</w:t>
            </w:r>
          </w:p>
        </w:tc>
        <w:tc>
          <w:tcPr>
            <w:tcW w:type="dxa" w:w="612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Status, overdue items and effectiveness of prior decisions.</w:t>
            </w:r>
          </w:p>
        </w:tc>
      </w:tr>
      <w:tr>
        <w:trPr>
          <w:cantSplit/>
        </w:trPr>
        <w:tc>
          <w:tcPr>
            <w:tcW w:type="dxa" w:w="68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2</w:t>
            </w:r>
          </w:p>
        </w:tc>
        <w:tc>
          <w:tcPr>
            <w:tcW w:type="dxa" w:w="255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Context / interested parties</w:t>
            </w:r>
          </w:p>
        </w:tc>
        <w:tc>
          <w:tcPr>
            <w:tcW w:type="dxa" w:w="612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Material changes, including climate relevance where applicable.</w:t>
            </w:r>
          </w:p>
        </w:tc>
      </w:tr>
      <w:tr>
        <w:trPr>
          <w:cantSplit/>
        </w:trPr>
        <w:tc>
          <w:tcPr>
            <w:tcW w:type="dxa" w:w="68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3</w:t>
            </w:r>
          </w:p>
        </w:tc>
        <w:tc>
          <w:tcPr>
            <w:tcW w:type="dxa" w:w="255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Compliance obligations</w:t>
            </w:r>
          </w:p>
        </w:tc>
        <w:tc>
          <w:tcPr>
            <w:tcW w:type="dxa" w:w="612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Important new/changed obligations and source-monitoring issues.</w:t>
            </w:r>
          </w:p>
        </w:tc>
      </w:tr>
      <w:tr>
        <w:trPr>
          <w:cantSplit/>
        </w:trPr>
        <w:tc>
          <w:tcPr>
            <w:tcW w:type="dxa" w:w="68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4</w:t>
            </w:r>
          </w:p>
        </w:tc>
        <w:tc>
          <w:tcPr>
            <w:tcW w:type="dxa" w:w="255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Compliance risks / controls</w:t>
            </w:r>
          </w:p>
        </w:tc>
        <w:tc>
          <w:tcPr>
            <w:tcW w:type="dxa" w:w="612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Top risks, trend, control performance and emerging exposure.</w:t>
            </w:r>
          </w:p>
        </w:tc>
      </w:tr>
      <w:tr>
        <w:trPr>
          <w:cantSplit/>
        </w:trPr>
        <w:tc>
          <w:tcPr>
            <w:tcW w:type="dxa" w:w="68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5</w:t>
            </w:r>
          </w:p>
        </w:tc>
        <w:tc>
          <w:tcPr>
            <w:tcW w:type="dxa" w:w="255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Objectives / indicators</w:t>
            </w:r>
          </w:p>
        </w:tc>
        <w:tc>
          <w:tcPr>
            <w:tcW w:type="dxa" w:w="612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Progress, trends, exceptions and target changes.</w:t>
            </w:r>
          </w:p>
        </w:tc>
      </w:tr>
      <w:tr>
        <w:trPr>
          <w:cantSplit/>
        </w:trPr>
        <w:tc>
          <w:tcPr>
            <w:tcW w:type="dxa" w:w="68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6</w:t>
            </w:r>
          </w:p>
        </w:tc>
        <w:tc>
          <w:tcPr>
            <w:tcW w:type="dxa" w:w="255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Compliance evaluation</w:t>
            </w:r>
          </w:p>
        </w:tc>
        <w:tc>
          <w:tcPr>
            <w:tcW w:type="dxa" w:w="612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Evidence-based status and material gaps.</w:t>
            </w:r>
          </w:p>
        </w:tc>
      </w:tr>
      <w:tr>
        <w:trPr>
          <w:cantSplit/>
        </w:trPr>
        <w:tc>
          <w:tcPr>
            <w:tcW w:type="dxa" w:w="68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7</w:t>
            </w:r>
          </w:p>
        </w:tc>
        <w:tc>
          <w:tcPr>
            <w:tcW w:type="dxa" w:w="255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Speak-up / investigations</w:t>
            </w:r>
          </w:p>
        </w:tc>
        <w:tc>
          <w:tcPr>
            <w:tcW w:type="dxa" w:w="612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Aggregated trends, timeliness, substantiation themes and lessons learned.</w:t>
            </w:r>
          </w:p>
        </w:tc>
      </w:tr>
      <w:tr>
        <w:trPr>
          <w:cantSplit/>
        </w:trPr>
        <w:tc>
          <w:tcPr>
            <w:tcW w:type="dxa" w:w="68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8</w:t>
            </w:r>
          </w:p>
        </w:tc>
        <w:tc>
          <w:tcPr>
            <w:tcW w:type="dxa" w:w="255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Third parties / suppliers</w:t>
            </w:r>
          </w:p>
        </w:tc>
        <w:tc>
          <w:tcPr>
            <w:tcW w:type="dxa" w:w="612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Due diligence, monitoring, audit and remediation themes.</w:t>
            </w:r>
          </w:p>
        </w:tc>
      </w:tr>
      <w:tr>
        <w:trPr>
          <w:cantSplit/>
        </w:trPr>
        <w:tc>
          <w:tcPr>
            <w:tcW w:type="dxa" w:w="68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9</w:t>
            </w:r>
          </w:p>
        </w:tc>
        <w:tc>
          <w:tcPr>
            <w:tcW w:type="dxa" w:w="255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Audit / monitoring</w:t>
            </w:r>
          </w:p>
        </w:tc>
        <w:tc>
          <w:tcPr>
            <w:tcW w:type="dxa" w:w="612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Internal audit, monitoring, external assurance and recurring issues.</w:t>
            </w:r>
          </w:p>
        </w:tc>
      </w:tr>
      <w:tr>
        <w:trPr>
          <w:cantSplit/>
        </w:trPr>
        <w:tc>
          <w:tcPr>
            <w:tcW w:type="dxa" w:w="68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10</w:t>
            </w:r>
          </w:p>
        </w:tc>
        <w:tc>
          <w:tcPr>
            <w:tcW w:type="dxa" w:w="255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Resources / competence / culture</w:t>
            </w:r>
          </w:p>
        </w:tc>
        <w:tc>
          <w:tcPr>
            <w:tcW w:type="dxa" w:w="612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Capacity, systems, training, independence and culture indicators.</w:t>
            </w:r>
          </w:p>
        </w:tc>
      </w:tr>
      <w:tr>
        <w:trPr>
          <w:cantSplit/>
        </w:trPr>
        <w:tc>
          <w:tcPr>
            <w:tcW w:type="dxa" w:w="68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11</w:t>
            </w:r>
          </w:p>
        </w:tc>
        <w:tc>
          <w:tcPr>
            <w:tcW w:type="dxa" w:w="255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Corrective action / improvement</w:t>
            </w:r>
          </w:p>
        </w:tc>
        <w:tc>
          <w:tcPr>
            <w:tcW w:type="dxa" w:w="612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Root causes, effectiveness, repeat issues and improvement opportunities.</w:t>
            </w:r>
          </w:p>
        </w:tc>
      </w:tr>
      <w:tr>
        <w:trPr>
          <w:cantSplit/>
        </w:trPr>
        <w:tc>
          <w:tcPr>
            <w:tcW w:type="dxa" w:w="68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12</w:t>
            </w:r>
          </w:p>
        </w:tc>
        <w:tc>
          <w:tcPr>
            <w:tcW w:type="dxa" w:w="255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Decisions / escalations</w:t>
            </w:r>
          </w:p>
        </w:tc>
        <w:tc>
          <w:tcPr>
            <w:tcW w:type="dxa" w:w="612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Resource, governance, objective, control and escalation decisions.</w:t>
            </w:r>
          </w:p>
        </w:tc>
      </w:tr>
    </w:tbl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4. Illustrative Minute Entries</w:t>
      </w:r>
    </w:p>
    <w:tbl>
      <w:tblPr>
        <w:tblW w:type="auto" w:w="0"/>
        <w:jc w:val="center"/>
        <w:tblLayout w:type="fixed"/>
        <w:tblLook w:val="04A0"/>
      </w:tblPr>
      <w:tblGrid>
        <w:gridCol w:w="1871"/>
        <w:gridCol w:w="1871"/>
        <w:gridCol w:w="1871"/>
        <w:gridCol w:w="1871"/>
        <w:gridCol w:w="1871"/>
      </w:tblGrid>
      <w:tr>
        <w:trPr>
          <w:tblHeader w:val="true"/>
        </w:trPr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5"/>
              </w:rPr>
              <w:t>Data Type</w:t>
            </w:r>
          </w:p>
        </w:tc>
        <w:tc>
          <w:tcPr>
            <w:tcW w:type="dxa" w:w="198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5"/>
              </w:rPr>
              <w:t>Review Item</w:t>
            </w:r>
          </w:p>
        </w:tc>
        <w:tc>
          <w:tcPr>
            <w:tcW w:type="dxa" w:w="351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5"/>
              </w:rPr>
              <w:t>Illustrative Summary / Evidence</w:t>
            </w:r>
          </w:p>
        </w:tc>
        <w:tc>
          <w:tcPr>
            <w:tcW w:type="dxa" w:w="311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5"/>
              </w:rPr>
              <w:t>Decision / Direction</w:t>
            </w:r>
          </w:p>
        </w:tc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5"/>
              </w:rPr>
              <w:t>Action ID</w:t>
            </w:r>
          </w:p>
        </w:tc>
      </w:tr>
      <w:tr>
        <w:trPr>
          <w:cantSplit/>
        </w:trPr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Example Data</w:t>
            </w:r>
          </w:p>
        </w:tc>
        <w:tc>
          <w:tcPr>
            <w:tcW w:type="dxa" w:w="198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Compliance obligations</w:t>
            </w:r>
          </w:p>
        </w:tc>
        <w:tc>
          <w:tcPr>
            <w:tcW w:type="dxa" w:w="351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Two obligation families need clearer authoritative-source ownership.</w:t>
            </w:r>
          </w:p>
        </w:tc>
        <w:tc>
          <w:tcPr>
            <w:tcW w:type="dxa" w:w="311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Assign source owners and update method before next review.</w:t>
            </w:r>
          </w:p>
        </w:tc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EX-MR-A01</w:t>
            </w:r>
          </w:p>
        </w:tc>
      </w:tr>
      <w:tr>
        <w:trPr>
          <w:cantSplit/>
        </w:trPr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Example Data</w:t>
            </w:r>
          </w:p>
        </w:tc>
        <w:tc>
          <w:tcPr>
            <w:tcW w:type="dxa" w:w="198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Third-party controls</w:t>
            </w:r>
          </w:p>
        </w:tc>
        <w:tc>
          <w:tcPr>
            <w:tcW w:type="dxa" w:w="351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Higher-risk intermediary refresh reviews are delayed in one business unit.</w:t>
            </w:r>
          </w:p>
        </w:tc>
        <w:tc>
          <w:tcPr>
            <w:tcW w:type="dxa" w:w="311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Prioritize backlog and report completion monthly until recovered.</w:t>
            </w:r>
          </w:p>
        </w:tc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EX-MR-A02</w:t>
            </w:r>
          </w:p>
        </w:tc>
      </w:tr>
      <w:tr>
        <w:trPr>
          <w:cantSplit/>
        </w:trPr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Example Data</w:t>
            </w:r>
          </w:p>
        </w:tc>
        <w:tc>
          <w:tcPr>
            <w:tcW w:type="dxa" w:w="198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Objectives / KPI</w:t>
            </w:r>
          </w:p>
        </w:tc>
        <w:tc>
          <w:tcPr>
            <w:tcW w:type="dxa" w:w="351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Role-based training completion is on target; late completion is concentrated in new starters.</w:t>
            </w:r>
          </w:p>
        </w:tc>
        <w:tc>
          <w:tcPr>
            <w:tcW w:type="dxa" w:w="311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Add onboarding trigger and monitor first-30-day completion.</w:t>
            </w:r>
          </w:p>
        </w:tc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EX-MR-A03</w:t>
            </w:r>
          </w:p>
        </w:tc>
      </w:tr>
      <w:tr>
        <w:trPr>
          <w:cantSplit/>
        </w:trPr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Example Data</w:t>
            </w:r>
          </w:p>
        </w:tc>
        <w:tc>
          <w:tcPr>
            <w:tcW w:type="dxa" w:w="198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Compliance evaluation</w:t>
            </w:r>
          </w:p>
        </w:tc>
        <w:tc>
          <w:tcPr>
            <w:tcW w:type="dxa" w:w="351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Evidence standards are inconsistent across several obligation categories.</w:t>
            </w:r>
          </w:p>
        </w:tc>
        <w:tc>
          <w:tcPr>
            <w:tcW w:type="dxa" w:w="311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Approve a common evaluation evidence standard and priority reassessment.</w:t>
            </w:r>
          </w:p>
        </w:tc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EX-MR-A04</w:t>
            </w:r>
          </w:p>
        </w:tc>
      </w:tr>
      <w:tr>
        <w:trPr>
          <w:cantSplit/>
        </w:trPr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Example Data</w:t>
            </w:r>
          </w:p>
        </w:tc>
        <w:tc>
          <w:tcPr>
            <w:tcW w:type="dxa" w:w="198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Resources</w:t>
            </w:r>
          </w:p>
        </w:tc>
        <w:tc>
          <w:tcPr>
            <w:tcW w:type="dxa" w:w="351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Case-management reporting is manual and limits trend analysis.</w:t>
            </w:r>
          </w:p>
        </w:tc>
        <w:tc>
          <w:tcPr>
            <w:tcW w:type="dxa" w:w="311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Evaluate system options and present resource proposal.</w:t>
            </w:r>
          </w:p>
        </w:tc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EX-MR-A05</w:t>
            </w:r>
          </w:p>
        </w:tc>
      </w:tr>
    </w:tbl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5. Decision and Action Tracker</w:t>
      </w:r>
    </w:p>
    <w:tbl>
      <w:tblPr>
        <w:tblW w:type="auto" w:w="0"/>
        <w:jc w:val="center"/>
        <w:tblLayout w:type="fixed"/>
        <w:tblLook w:val="04A0"/>
      </w:tblPr>
      <w:tblGrid>
        <w:gridCol w:w="1169"/>
        <w:gridCol w:w="1169"/>
        <w:gridCol w:w="1169"/>
        <w:gridCol w:w="1169"/>
        <w:gridCol w:w="1169"/>
        <w:gridCol w:w="1169"/>
        <w:gridCol w:w="1169"/>
        <w:gridCol w:w="1169"/>
      </w:tblGrid>
      <w:tr>
        <w:trPr>
          <w:tblHeader w:val="true"/>
        </w:trPr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4"/>
              </w:rPr>
              <w:t>Data Type</w:t>
            </w:r>
          </w:p>
        </w:tc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4"/>
              </w:rPr>
              <w:t>Action ID</w:t>
            </w:r>
          </w:p>
        </w:tc>
        <w:tc>
          <w:tcPr>
            <w:tcW w:type="dxa" w:w="3742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4"/>
              </w:rPr>
              <w:t>Decision / Action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4"/>
              </w:rPr>
              <w:t>Owner</w:t>
            </w:r>
          </w:p>
        </w:tc>
        <w:tc>
          <w:tcPr>
            <w:tcW w:type="dxa" w:w="136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4"/>
              </w:rPr>
              <w:t>Due Date</w:t>
            </w:r>
          </w:p>
        </w:tc>
        <w:tc>
          <w:tcPr>
            <w:tcW w:type="dxa" w:w="10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4"/>
              </w:rPr>
              <w:t>Priority</w:t>
            </w:r>
          </w:p>
        </w:tc>
        <w:tc>
          <w:tcPr>
            <w:tcW w:type="dxa" w:w="147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4"/>
              </w:rPr>
              <w:t>Status</w:t>
            </w:r>
          </w:p>
        </w:tc>
        <w:tc>
          <w:tcPr>
            <w:tcW w:type="dxa" w:w="198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4"/>
              </w:rPr>
              <w:t>Evidence / Closure</w:t>
            </w:r>
          </w:p>
        </w:tc>
      </w:tr>
      <w:tr>
        <w:trPr>
          <w:cantSplit/>
        </w:trPr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Example Data</w:t>
            </w:r>
          </w:p>
        </w:tc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EX-MR-A01</w:t>
            </w:r>
          </w:p>
        </w:tc>
        <w:tc>
          <w:tcPr>
            <w:tcW w:type="dxa" w:w="3742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Assign authoritative-source owners and update method for priority obligation families.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Compliance Manager</w:t>
            </w:r>
          </w:p>
        </w:tc>
        <w:tc>
          <w:tcPr>
            <w:tcW w:type="dxa" w:w="136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2026-10-31</w:t>
            </w:r>
          </w:p>
        </w:tc>
        <w:tc>
          <w:tcPr>
            <w:tcW w:type="dxa" w:w="10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High</w:t>
            </w:r>
          </w:p>
        </w:tc>
        <w:tc>
          <w:tcPr>
            <w:tcW w:type="dxa" w:w="147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In Progress</w:t>
            </w:r>
          </w:p>
        </w:tc>
        <w:tc>
          <w:tcPr>
            <w:tcW w:type="dxa" w:w="198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[Illustrative]</w:t>
            </w:r>
          </w:p>
        </w:tc>
      </w:tr>
      <w:tr>
        <w:trPr>
          <w:cantSplit/>
        </w:trPr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Example Data</w:t>
            </w:r>
          </w:p>
        </w:tc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EX-MR-A02</w:t>
            </w:r>
          </w:p>
        </w:tc>
        <w:tc>
          <w:tcPr>
            <w:tcW w:type="dxa" w:w="3742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Clear overdue higher-risk third-party refresh backlog and report monthly.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Third-Party Risk Manager</w:t>
            </w:r>
          </w:p>
        </w:tc>
        <w:tc>
          <w:tcPr>
            <w:tcW w:type="dxa" w:w="136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2026-11-15</w:t>
            </w:r>
          </w:p>
        </w:tc>
        <w:tc>
          <w:tcPr>
            <w:tcW w:type="dxa" w:w="10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High</w:t>
            </w:r>
          </w:p>
        </w:tc>
        <w:tc>
          <w:tcPr>
            <w:tcW w:type="dxa" w:w="147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Open</w:t>
            </w:r>
          </w:p>
        </w:tc>
        <w:tc>
          <w:tcPr>
            <w:tcW w:type="dxa" w:w="198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[Illustrative]</w:t>
            </w:r>
          </w:p>
        </w:tc>
      </w:tr>
      <w:tr>
        <w:trPr>
          <w:cantSplit/>
        </w:trPr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Example Data</w:t>
            </w:r>
          </w:p>
        </w:tc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EX-MR-A03</w:t>
            </w:r>
          </w:p>
        </w:tc>
        <w:tc>
          <w:tcPr>
            <w:tcW w:type="dxa" w:w="3742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Add compliance training trigger to onboarding workflow.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HR Learning Lead</w:t>
            </w:r>
          </w:p>
        </w:tc>
        <w:tc>
          <w:tcPr>
            <w:tcW w:type="dxa" w:w="136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2026-12-01</w:t>
            </w:r>
          </w:p>
        </w:tc>
        <w:tc>
          <w:tcPr>
            <w:tcW w:type="dxa" w:w="10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Medium</w:t>
            </w:r>
          </w:p>
        </w:tc>
        <w:tc>
          <w:tcPr>
            <w:tcW w:type="dxa" w:w="147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Not Started</w:t>
            </w:r>
          </w:p>
        </w:tc>
        <w:tc>
          <w:tcPr>
            <w:tcW w:type="dxa" w:w="198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[Illustrative]</w:t>
            </w:r>
          </w:p>
        </w:tc>
      </w:tr>
      <w:tr>
        <w:trPr>
          <w:cantSplit/>
        </w:trPr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Example Data</w:t>
            </w:r>
          </w:p>
        </w:tc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EX-MR-A04</w:t>
            </w:r>
          </w:p>
        </w:tc>
        <w:tc>
          <w:tcPr>
            <w:tcW w:type="dxa" w:w="3742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Issue common evidence standard and reassess priority obligations.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Compliance Assurance Lead</w:t>
            </w:r>
          </w:p>
        </w:tc>
        <w:tc>
          <w:tcPr>
            <w:tcW w:type="dxa" w:w="136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2026-10-15</w:t>
            </w:r>
          </w:p>
        </w:tc>
        <w:tc>
          <w:tcPr>
            <w:tcW w:type="dxa" w:w="10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High</w:t>
            </w:r>
          </w:p>
        </w:tc>
        <w:tc>
          <w:tcPr>
            <w:tcW w:type="dxa" w:w="147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In Progress</w:t>
            </w:r>
          </w:p>
        </w:tc>
        <w:tc>
          <w:tcPr>
            <w:tcW w:type="dxa" w:w="198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[Illustrative]</w:t>
            </w:r>
          </w:p>
        </w:tc>
      </w:tr>
      <w:tr>
        <w:trPr>
          <w:cantSplit/>
        </w:trPr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Example Data</w:t>
            </w:r>
          </w:p>
        </w:tc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EX-MR-A05</w:t>
            </w:r>
          </w:p>
        </w:tc>
        <w:tc>
          <w:tcPr>
            <w:tcW w:type="dxa" w:w="3742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Prepare business case for case-management reporting capability.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Chief Compliance Officer</w:t>
            </w:r>
          </w:p>
        </w:tc>
        <w:tc>
          <w:tcPr>
            <w:tcW w:type="dxa" w:w="136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2027-01-31</w:t>
            </w:r>
          </w:p>
        </w:tc>
        <w:tc>
          <w:tcPr>
            <w:tcW w:type="dxa" w:w="10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Medium</w:t>
            </w:r>
          </w:p>
        </w:tc>
        <w:tc>
          <w:tcPr>
            <w:tcW w:type="dxa" w:w="147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Open</w:t>
            </w:r>
          </w:p>
        </w:tc>
        <w:tc>
          <w:tcPr>
            <w:tcW w:type="dxa" w:w="198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[Illustrative]</w:t>
            </w:r>
          </w:p>
        </w:tc>
      </w:tr>
    </w:tbl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6. Management Conclusions</w:t>
      </w:r>
    </w:p>
    <w:tbl>
      <w:tblPr>
        <w:tblW w:type="auto" w:w="0"/>
        <w:jc w:val="center"/>
        <w:tblLayout w:type="fixed"/>
        <w:tblLook w:val="04A0"/>
      </w:tblPr>
      <w:tblGrid>
        <w:gridCol w:w="4677"/>
        <w:gridCol w:w="4677"/>
      </w:tblGrid>
      <w:tr>
        <w:trPr>
          <w:tblHeader w:val="true"/>
        </w:trPr>
        <w:tc>
          <w:tcPr>
            <w:tcW w:type="dxa" w:w="3572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Conclusion</w:t>
            </w:r>
          </w:p>
        </w:tc>
        <w:tc>
          <w:tcPr>
            <w:tcW w:type="dxa" w:w="578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Management Statement / Decision</w:t>
            </w:r>
          </w:p>
        </w:tc>
      </w:tr>
      <w:tr>
        <w:trPr>
          <w:cantSplit/>
        </w:trPr>
        <w:tc>
          <w:tcPr>
            <w:tcW w:type="dxa" w:w="3572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CMS suitability</w:t>
            </w:r>
          </w:p>
        </w:tc>
        <w:tc>
          <w:tcPr>
            <w:tcW w:type="dxa" w:w="578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[RECORD CONCLUSION]</w:t>
            </w:r>
          </w:p>
        </w:tc>
      </w:tr>
      <w:tr>
        <w:trPr>
          <w:cantSplit/>
        </w:trPr>
        <w:tc>
          <w:tcPr>
            <w:tcW w:type="dxa" w:w="3572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CMS adequacy</w:t>
            </w:r>
          </w:p>
        </w:tc>
        <w:tc>
          <w:tcPr>
            <w:tcW w:type="dxa" w:w="578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[RECORD CONCLUSION]</w:t>
            </w:r>
          </w:p>
        </w:tc>
      </w:tr>
      <w:tr>
        <w:trPr>
          <w:cantSplit/>
        </w:trPr>
        <w:tc>
          <w:tcPr>
            <w:tcW w:type="dxa" w:w="3572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CMS effectiveness</w:t>
            </w:r>
          </w:p>
        </w:tc>
        <w:tc>
          <w:tcPr>
            <w:tcW w:type="dxa" w:w="578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[RECORD CONCLUSION]</w:t>
            </w:r>
          </w:p>
        </w:tc>
      </w:tr>
      <w:tr>
        <w:trPr>
          <w:cantSplit/>
        </w:trPr>
        <w:tc>
          <w:tcPr>
            <w:tcW w:type="dxa" w:w="3572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Resource / competence needs</w:t>
            </w:r>
          </w:p>
        </w:tc>
        <w:tc>
          <w:tcPr>
            <w:tcW w:type="dxa" w:w="578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[RECORD DECISION]</w:t>
            </w:r>
          </w:p>
        </w:tc>
      </w:tr>
      <w:tr>
        <w:trPr>
          <w:cantSplit/>
        </w:trPr>
        <w:tc>
          <w:tcPr>
            <w:tcW w:type="dxa" w:w="3572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Changes to objectives / controls</w:t>
            </w:r>
          </w:p>
        </w:tc>
        <w:tc>
          <w:tcPr>
            <w:tcW w:type="dxa" w:w="578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[RECORD DECISION]</w:t>
            </w:r>
          </w:p>
        </w:tc>
      </w:tr>
      <w:tr>
        <w:trPr>
          <w:cantSplit/>
        </w:trPr>
        <w:tc>
          <w:tcPr>
            <w:tcW w:type="dxa" w:w="3572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Matters for governing-body escalation</w:t>
            </w:r>
          </w:p>
        </w:tc>
        <w:tc>
          <w:tcPr>
            <w:tcW w:type="dxa" w:w="578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[RECORD DECISION / NONE]</w:t>
            </w:r>
          </w:p>
        </w:tc>
      </w:tr>
    </w:tbl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7. Approval / Confirmation</w:t>
      </w:r>
    </w:p>
    <w:tbl>
      <w:tblPr>
        <w:tblW w:type="auto" w:w="0"/>
        <w:jc w:val="center"/>
        <w:tblLayout w:type="fixed"/>
        <w:tblLook w:val="04A0"/>
      </w:tblPr>
      <w:tblGrid>
        <w:gridCol w:w="3118"/>
        <w:gridCol w:w="3118"/>
        <w:gridCol w:w="3118"/>
      </w:tblGrid>
      <w:tr>
        <w:trPr>
          <w:tblHeader w:val="true"/>
        </w:trPr>
        <w:tc>
          <w:tcPr>
            <w:tcW w:type="dxa" w:w="283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Role</w:t>
            </w:r>
          </w:p>
        </w:tc>
        <w:tc>
          <w:tcPr>
            <w:tcW w:type="dxa" w:w="283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Name</w:t>
            </w:r>
          </w:p>
        </w:tc>
        <w:tc>
          <w:tcPr>
            <w:tcW w:type="dxa" w:w="368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Confirmation / Date</w:t>
            </w:r>
          </w:p>
        </w:tc>
      </w:tr>
      <w:tr>
        <w:trPr>
          <w:cantSplit/>
        </w:trPr>
        <w:tc>
          <w:tcPr>
            <w:tcW w:type="dxa" w:w="283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Chair / Top Management</w:t>
            </w:r>
          </w:p>
        </w:tc>
        <w:tc>
          <w:tcPr>
            <w:tcW w:type="dxa" w:w="283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[NAME]</w:t>
            </w:r>
          </w:p>
        </w:tc>
        <w:tc>
          <w:tcPr>
            <w:tcW w:type="dxa" w:w="368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[SIGN / ELECTRONIC APPROVAL / DATE]</w:t>
            </w:r>
          </w:p>
        </w:tc>
      </w:tr>
      <w:tr>
        <w:trPr>
          <w:cantSplit/>
        </w:trPr>
        <w:tc>
          <w:tcPr>
            <w:tcW w:type="dxa" w:w="283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Chief Compliance Officer</w:t>
            </w:r>
          </w:p>
        </w:tc>
        <w:tc>
          <w:tcPr>
            <w:tcW w:type="dxa" w:w="283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[NAME]</w:t>
            </w:r>
          </w:p>
        </w:tc>
        <w:tc>
          <w:tcPr>
            <w:tcW w:type="dxa" w:w="368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[SIGN / ELECTRONIC APPROVAL / DATE]</w:t>
            </w:r>
          </w:p>
        </w:tc>
      </w:tr>
      <w:tr>
        <w:trPr>
          <w:cantSplit/>
        </w:trPr>
        <w:tc>
          <w:tcPr>
            <w:tcW w:type="dxa" w:w="283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Secretary</w:t>
            </w:r>
          </w:p>
        </w:tc>
        <w:tc>
          <w:tcPr>
            <w:tcW w:type="dxa" w:w="283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[NAME]</w:t>
            </w:r>
          </w:p>
        </w:tc>
        <w:tc>
          <w:tcPr>
            <w:tcW w:type="dxa" w:w="368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[DATE]</w:t>
            </w:r>
          </w:p>
        </w:tc>
      </w:tr>
    </w:tbl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References and Related Sources</w:t>
      </w:r>
    </w:p>
    <w:tbl>
      <w:tblPr>
        <w:tblW w:type="auto" w:w="0"/>
        <w:jc w:val="center"/>
        <w:tblLayout w:type="fixed"/>
        <w:tblLook w:val="04A0"/>
      </w:tblPr>
      <w:tblGrid>
        <w:gridCol w:w="3118"/>
        <w:gridCol w:w="3118"/>
        <w:gridCol w:w="3118"/>
      </w:tblGrid>
      <w:tr>
        <w:trPr>
          <w:tblHeader w:val="true"/>
        </w:trPr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Reference</w:t>
            </w:r>
          </w:p>
        </w:tc>
        <w:tc>
          <w:tcPr>
            <w:tcW w:type="dxa" w:w="430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Use in this document</w:t>
            </w:r>
          </w:p>
        </w:tc>
        <w:tc>
          <w:tcPr>
            <w:tcW w:type="dxa" w:w="255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Source / Location</w:t>
            </w:r>
          </w:p>
        </w:tc>
      </w:tr>
      <w:tr>
        <w:trPr>
          <w:cantSplit/>
        </w:trPr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ISO 37301:2021</w:t>
            </w:r>
          </w:p>
        </w:tc>
        <w:tc>
          <w:tcPr>
            <w:tcW w:type="dxa" w:w="430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Compliance management systems — requirements with guidance for use</w:t>
            </w:r>
          </w:p>
        </w:tc>
        <w:tc>
          <w:tcPr>
            <w:tcW w:type="dxa" w:w="255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https://www.iso.org/standard/75080.html</w:t>
            </w:r>
          </w:p>
        </w:tc>
      </w:tr>
      <w:tr>
        <w:trPr>
          <w:cantSplit/>
        </w:trPr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ISO 37301:2021/Amd 1:2024</w:t>
            </w:r>
          </w:p>
        </w:tc>
        <w:tc>
          <w:tcPr>
            <w:tcW w:type="dxa" w:w="430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Climate action changes</w:t>
            </w:r>
          </w:p>
        </w:tc>
        <w:tc>
          <w:tcPr>
            <w:tcW w:type="dxa" w:w="255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https://www.iso.org/standard/88422.html</w:t>
            </w:r>
          </w:p>
        </w:tc>
      </w:tr>
      <w:tr>
        <w:trPr>
          <w:cantSplit/>
        </w:trPr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Organization CMS documented information</w:t>
            </w:r>
          </w:p>
        </w:tc>
        <w:tc>
          <w:tcPr>
            <w:tcW w:type="dxa" w:w="430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Applicable policies, registers, procedures, audit records and management-review records</w:t>
            </w:r>
          </w:p>
        </w:tc>
        <w:tc>
          <w:tcPr>
            <w:tcW w:type="dxa" w:w="255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[INTERNAL SOURCE / REPOSITORY]</w:t>
            </w:r>
          </w:p>
        </w:tc>
      </w:tr>
    </w:tbl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Revision and Approval</w:t>
      </w:r>
    </w:p>
    <w:tbl>
      <w:tblPr>
        <w:tblW w:type="auto" w:w="0"/>
        <w:jc w:val="center"/>
        <w:tblLayout w:type="fixed"/>
        <w:tblLook w:val="04A0"/>
      </w:tblPr>
      <w:tblGrid>
        <w:gridCol w:w="1871"/>
        <w:gridCol w:w="1871"/>
        <w:gridCol w:w="1871"/>
        <w:gridCol w:w="1871"/>
        <w:gridCol w:w="1871"/>
      </w:tblGrid>
      <w:tr>
        <w:trPr>
          <w:tblHeader w:val="true"/>
        </w:trPr>
        <w:tc>
          <w:tcPr>
            <w:tcW w:type="dxa" w:w="10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Version</w:t>
            </w:r>
          </w:p>
        </w:tc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Date</w:t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Change</w:t>
            </w:r>
          </w:p>
        </w:tc>
        <w:tc>
          <w:tcPr>
            <w:tcW w:type="dxa" w:w="226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Document Owner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Approver</w:t>
            </w:r>
          </w:p>
        </w:tc>
      </w:tr>
      <w:tr>
        <w:trPr>
          <w:cantSplit/>
        </w:trPr>
        <w:tc>
          <w:tcPr>
            <w:tcW w:type="dxa" w:w="10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1.0</w:t>
            </w:r>
          </w:p>
        </w:tc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2026-09-18</w:t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Initial issue</w:t>
            </w:r>
          </w:p>
        </w:tc>
        <w:tc>
          <w:tcPr>
            <w:tcW w:type="dxa" w:w="226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Chief Compliance Officer / CMS Coordinator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Top Management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134" w:left="1417" w:header="39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>
  <w:p>
    <w:pPr>
      <w:pStyle w:val="Footer"/>
      <w:spacing w:after="20"/>
      <w:jc w:val="center"/>
    </w:pPr>
    <w:r/>
    <w:r>
      <w:rPr>
        <w:rFonts w:ascii="Cambria" w:hAnsi="Cambria" w:eastAsia="Cambria"/>
        <w:color w:val="666666"/>
        <w:sz w:val="16"/>
      </w:rPr>
      <w:t>Copyright © ISO Toolkits | www.iso-toolkits.org | info@iso-toolkits.org</w:t>
    </w:r>
  </w:p>
  <w:p>
    <w:pPr>
      <w:spacing w:after="0"/>
      <w:jc w:val="center"/>
    </w:pPr>
    <w:r>
      <w:rPr>
        <w:rFonts w:ascii="Cambria" w:hAnsi="Cambria" w:eastAsia="Cambria"/>
        <w:color w:val="666666"/>
        <w:sz w:val="16"/>
      </w:rPr>
      <w:t xml:space="preserve">CONTROLLED DOCUMENT | INTERNAL | Page </w:t>
    </w:r>
    <w:r>
      <w:rPr>
        <w:rFonts w:ascii="Cambria" w:hAnsi="Cambria" w:eastAsia="Cambria"/>
        <w:color w:val="666666"/>
        <w:sz w:val="16"/>
      </w:rPr>
      <w:fldChar w:fldCharType="begin"/>
      <w:instrText xml:space="preserve"> PAGE </w:instrText>
      <w:fldChar w:fldCharType="end"/>
    </w:r>
    <w:r>
      <w:rPr>
        <w:rFonts w:ascii="Cambria" w:hAnsi="Cambria" w:eastAsia="Cambria"/>
        <w:color w:val="666666"/>
        <w:sz w:val="16"/>
      </w:rPr>
      <w:t xml:space="preserve"> of </w:t>
    </w:r>
    <w:r>
      <w:rPr>
        <w:rFonts w:ascii="Cambria" w:hAnsi="Cambria" w:eastAsia="Cambria"/>
        <w:color w:val="666666"/>
        <w:sz w:val="16"/>
      </w:rPr>
      <w:fldChar w:fldCharType="begin"/>
      <w:instrText xml:space="preserve"> NUMPAGES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>
  <w:p>
    <w:pPr>
      <w:pStyle w:val="Header"/>
      <w:spacing w:after="0"/>
    </w:pPr>
    <w:r/>
  </w:p>
  <w:tbl>
    <w:tblPr>
      <w:tblW w:type="auto" w:w="0"/>
      <w:jc w:val="center"/>
      <w:tblLayout w:type="fixed"/>
      <w:tblLook w:val="04A0"/>
    </w:tblPr>
    <w:tblGrid>
      <w:gridCol w:w="3118"/>
      <w:gridCol w:w="3118"/>
      <w:gridCol w:w="3118"/>
    </w:tblGrid>
    <w:tr>
      <w:tc>
        <w:tcPr>
          <w:tcW w:type="dxa" w:w="1814"/>
          <w:tcMar>
            <w:top w:w="20" w:type="dxa"/>
            <w:left w:w="40" w:type="dxa"/>
            <w:bottom w:w="20" w:type="dxa"/>
            <w:right w:w="40" w:type="dxa"/>
          </w:tcMar>
        </w:tcPr>
        <w:p>
          <w:pPr>
            <w:jc w:val="center"/>
          </w:pPr>
          <w:r>
            <w:rPr>
              <w:rFonts w:ascii="Cambria" w:hAnsi="Cambria" w:eastAsia="Cambria"/>
              <w:color w:val="666666"/>
              <w:sz w:val="16"/>
            </w:rPr>
            <w:t>ORGANIZATION</w:t>
            <w:br/>
            <w:t>LOGO</w:t>
          </w:r>
        </w:p>
      </w:tc>
      <w:tc>
        <w:tcPr>
          <w:tcW w:type="dxa" w:w="5216"/>
          <w:tcMar>
            <w:top w:w="20" w:type="dxa"/>
            <w:left w:w="40" w:type="dxa"/>
            <w:bottom w:w="20" w:type="dxa"/>
            <w:right w:w="40" w:type="dxa"/>
          </w:tcMar>
        </w:tcPr>
        <w:p>
          <w:pPr>
            <w:jc w:val="center"/>
          </w:pPr>
          <w:r>
            <w:rPr>
              <w:rFonts w:ascii="Cambria" w:hAnsi="Cambria" w:eastAsia="Cambria"/>
              <w:color w:val="666666"/>
              <w:sz w:val="16"/>
            </w:rPr>
            <w:t>[ORGANIZATION NAME]</w:t>
            <w:br/>
          </w:r>
          <w:r>
            <w:rPr>
              <w:rFonts w:ascii="Cambria" w:hAnsi="Cambria" w:eastAsia="Cambria"/>
              <w:b/>
              <w:color w:val="1F4E79"/>
              <w:sz w:val="18"/>
            </w:rPr>
            <w:t>Compliance Management Review Agenda &amp; Minutes</w:t>
          </w:r>
        </w:p>
      </w:tc>
      <w:tc>
        <w:tcPr>
          <w:tcW w:type="dxa" w:w="2324"/>
          <w:tcMar>
            <w:top w:w="20" w:type="dxa"/>
            <w:left w:w="40" w:type="dxa"/>
            <w:bottom w:w="20" w:type="dxa"/>
            <w:right w:w="40" w:type="dxa"/>
          </w:tcMar>
        </w:tcPr>
        <w:p>
          <w:pPr>
            <w:jc w:val="right"/>
          </w:pPr>
          <w:r>
            <w:rPr>
              <w:rFonts w:ascii="Cambria" w:hAnsi="Cambria" w:eastAsia="Cambria"/>
              <w:b/>
              <w:color w:val="666666"/>
              <w:sz w:val="16"/>
            </w:rPr>
            <w:t>CMS-FRM-001</w:t>
            <w:br/>
          </w:r>
          <w:r>
            <w:rPr>
              <w:rFonts w:ascii="Cambria" w:hAnsi="Cambria" w:eastAsia="Cambria"/>
              <w:color w:val="666666"/>
              <w:sz w:val="16"/>
            </w:rPr>
            <w:t>Version 1.0</w:t>
            <w:br/>
          </w:r>
          <w:r>
            <w:rPr>
              <w:rFonts w:ascii="Cambria" w:hAnsi="Cambria" w:eastAsia="Cambria"/>
              <w:color w:val="666666"/>
              <w:sz w:val="16"/>
            </w:rPr>
            <w:t>Effective 2026-09-18</w:t>
          </w:r>
        </w:p>
      </w:tc>
    </w:tr>
  </w:tbl>
  <w:p>
    <w:pPr>
      <w:spacing w:after="0"/>
      <w:pBdr>
        <w:bottom w:val="single" w:sz="8" w:color="1F4E79" w:space="1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Cambria" w:hAnsi="Cambria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mbria" w:hAnsi="Cambria"/>
      <w:b/>
      <w:bCs/>
      <w:color w:val="1F4E7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mbria" w:hAnsi="Cambria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mbria" w:hAnsi="Cambria"/>
      <w:b/>
      <w:color w:val="1F4E79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Cambria" w:hAnsi="Cambria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Cambria" w:hAnsi="Cambria"/>
      <w:sz w:val="2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