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body>
    <w:p>
      <w:pPr>
        <w:spacing w:before="440" w:after="200"/>
        <w:jc w:val="center"/>
      </w:pPr>
      <w:r>
        <w:rPr>
          <w:rFonts w:ascii="Cambria" w:hAnsi="Cambria" w:eastAsia="Cambria"/>
          <w:b/>
          <w:color w:val="1F4E79"/>
          <w:sz w:val="44"/>
        </w:rPr>
        <w:t>COMPLIANCE MANAGEMENT MANUAL</w:t>
      </w:r>
    </w:p>
    <w:p>
      <w:pPr>
        <w:spacing w:after="320"/>
        <w:jc w:val="center"/>
      </w:pPr>
      <w:r>
        <w:rPr>
          <w:rFonts w:ascii="Cambria" w:hAnsi="Cambria" w:eastAsia="Cambria"/>
          <w:b/>
          <w:color w:val="000000"/>
          <w:sz w:val="24"/>
        </w:rPr>
        <w:t>ISO 37301:2021 + Amd 1:2024</w:t>
      </w:r>
    </w:p>
    <w:p>
      <w:pPr>
        <w:spacing w:after="360"/>
        <w:jc w:val="center"/>
      </w:pPr>
      <w:r>
        <w:rPr>
          <w:rFonts w:ascii="Cambria" w:hAnsi="Cambria" w:eastAsia="Cambria"/>
          <w:i/>
          <w:color w:val="666666"/>
          <w:sz w:val="22"/>
        </w:rPr>
        <w:t>Compliance Management System Framework</w:t>
      </w:r>
    </w:p>
    <w:tbl>
      <w:tblPr>
        <w:tblW w:type="auto" w:w="0"/>
        <w:jc w:val="center"/>
        <w:tblLayout w:type="fixed"/>
        <w:tblLook w:val="04A0"/>
      </w:tblPr>
      <w:tblGrid>
        <w:gridCol w:w="4677"/>
        <w:gridCol w:w="4677"/>
      </w:tblGrid>
      <w:tr>
        <w:trPr>
          <w:tblHeader w:val="true"/>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Document Owner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Approver</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Chief Compliance Officer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Top Management / Governing Body</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Classification: INTERNAL</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Next Review: 2027-09-18</w:t>
            </w:r>
          </w:p>
        </w:tc>
      </w:tr>
    </w:tbl>
    <w:p>
      <w:pPr>
        <w:spacing w:after="40"/>
      </w:pPr>
    </w:p>
    <w:tbl>
      <w:tblPr>
        <w:tblW w:type="auto" w:w="0"/>
        <w:jc w:val="center"/>
        <w:tblLayout w:type="autofit"/>
        <w:tblLook w:val="04A0"/>
      </w:tblPr>
      <w:tblGrid>
        <w:gridCol w:w="9355"/>
      </w:tblGrid>
      <w:tr>
        <w:tc>
          <w:tcPr>
            <w:tcW w:type="dxa" w:w="9355"/>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Replace organization-specific placeholders, CMS scope details and role titles before controlled release. Jurisdiction-specific compliance obligations must be maintained in approved registers and authoritative-source systems, not inferred from this manual.</w:t>
            </w:r>
          </w:p>
        </w:tc>
      </w:tr>
    </w:tbl>
    <w:p>
      <w:pPr>
        <w:spacing w:after="20"/>
      </w:pPr>
    </w:p>
    <w:p>
      <w:pPr>
        <w:pStyle w:val="Heading1"/>
        <w:keepNext/>
        <w:spacing w:before="120" w:after="60" w:line="252" w:lineRule="auto"/>
      </w:pPr>
      <w:r>
        <w:rPr>
          <w:rFonts w:ascii="Cambria" w:hAnsi="Cambria" w:eastAsia="Cambria"/>
          <w:b/>
          <w:color w:val="1F4E79"/>
          <w:sz w:val="24"/>
        </w:rPr>
        <w:t>1. Purpose</w:t>
      </w:r>
    </w:p>
    <w:p>
      <w:pPr>
        <w:spacing w:before="0" w:after="80" w:line="252" w:lineRule="auto"/>
      </w:pPr>
      <w:r>
        <w:rPr>
          <w:rFonts w:ascii="Cambria" w:hAnsi="Cambria" w:eastAsia="Cambria"/>
          <w:i w:val="0"/>
          <w:sz w:val="20"/>
        </w:rPr>
        <w:t>This Manual describes the structure and operating framework used by the organization to establish, implement, maintain, evaluate and continually improve its compliance management system (CMS). It is intended to explain how governance, compliance obligations, risk management, culture, controls, reporting and assurance work together.</w:t>
      </w:r>
    </w:p>
    <w:p>
      <w:pPr>
        <w:pStyle w:val="Heading1"/>
        <w:keepNext/>
        <w:spacing w:before="120" w:after="60" w:line="252" w:lineRule="auto"/>
      </w:pPr>
      <w:r>
        <w:rPr>
          <w:rFonts w:ascii="Cambria" w:hAnsi="Cambria" w:eastAsia="Cambria"/>
          <w:b/>
          <w:color w:val="1F4E79"/>
          <w:sz w:val="24"/>
        </w:rPr>
        <w:t>2. CMS Scope</w:t>
      </w:r>
    </w:p>
    <w:p>
      <w:pPr>
        <w:spacing w:before="0" w:after="80" w:line="252" w:lineRule="auto"/>
      </w:pPr>
      <w:r>
        <w:rPr>
          <w:rFonts w:ascii="Cambria" w:hAnsi="Cambria" w:eastAsia="Cambria"/>
          <w:i w:val="0"/>
          <w:sz w:val="20"/>
        </w:rPr>
        <w:t>The CMS applies to: [DEFINE LEGAL ENTITIES, BUSINESS UNITS, LOCATIONS, ACTIVITIES, PRODUCTS / SERVICES AND RELEVANT THIRD-PARTY RELATIONSHIPS]. Exclusions or boundaries must be justified, documented and periodically reviewed.</w:t>
      </w:r>
    </w:p>
    <w:p>
      <w:pPr>
        <w:pStyle w:val="Heading1"/>
        <w:keepNext/>
        <w:spacing w:before="120" w:after="60" w:line="252" w:lineRule="auto"/>
      </w:pPr>
      <w:r>
        <w:rPr>
          <w:rFonts w:ascii="Cambria" w:hAnsi="Cambria" w:eastAsia="Cambria"/>
          <w:b/>
          <w:color w:val="1F4E79"/>
          <w:sz w:val="24"/>
        </w:rPr>
        <w:t>3. Organization Context and Interested Parties</w:t>
      </w:r>
    </w:p>
    <w:p>
      <w:pPr>
        <w:spacing w:before="0" w:after="80" w:line="252" w:lineRule="auto"/>
      </w:pPr>
      <w:r>
        <w:rPr>
          <w:rFonts w:ascii="Cambria" w:hAnsi="Cambria" w:eastAsia="Cambria"/>
          <w:i w:val="0"/>
          <w:sz w:val="20"/>
        </w:rPr>
        <w:t>The organization periodically reviews internal and external issues that may affect compliance outcomes, including strategy, structure, ownership, markets, regulatory change, culture, technology, third-party dependencies and significant operating changes. Relevant interested parties and their material compliance expectations are maintained through controlled context and obligations processes.</w:t>
      </w:r>
    </w:p>
    <w:tbl>
      <w:tblPr>
        <w:tblW w:type="auto" w:w="0"/>
        <w:jc w:val="center"/>
        <w:tblLayout w:type="autofit"/>
        <w:tblLook w:val="04A0"/>
      </w:tblPr>
      <w:tblGrid>
        <w:gridCol w:w="9355"/>
      </w:tblGrid>
      <w:tr>
        <w:tc>
          <w:tcPr>
            <w:tcW w:type="dxa" w:w="9355"/>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The context review must document whether climate change is relevant to the CMS and consider relevant interested-party climate-related requirements where applicable under ISO 37301:2021/Amd 1:2024.</w:t>
            </w:r>
          </w:p>
        </w:tc>
      </w:tr>
    </w:tbl>
    <w:p>
      <w:pPr>
        <w:spacing w:after="20"/>
      </w:pPr>
    </w:p>
    <w:p>
      <w:pPr>
        <w:pStyle w:val="Heading1"/>
        <w:keepNext/>
        <w:spacing w:before="120" w:after="60" w:line="252" w:lineRule="auto"/>
      </w:pPr>
      <w:r>
        <w:rPr>
          <w:rFonts w:ascii="Cambria" w:hAnsi="Cambria" w:eastAsia="Cambria"/>
          <w:b/>
          <w:color w:val="1F4E79"/>
          <w:sz w:val="24"/>
        </w:rPr>
        <w:t>4. CMS Process Framework</w:t>
      </w:r>
    </w:p>
    <w:tbl>
      <w:tblPr>
        <w:tblW w:type="auto" w:w="0"/>
        <w:jc w:val="center"/>
        <w:tblLayout w:type="fixed"/>
        <w:tblLook w:val="04A0"/>
      </w:tblPr>
      <w:tblGrid>
        <w:gridCol w:w="3118"/>
        <w:gridCol w:w="3118"/>
        <w:gridCol w:w="3118"/>
      </w:tblGrid>
      <w:tr>
        <w:trPr>
          <w:tblHeader w:val="true"/>
        </w:trPr>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Process Group</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Core CMS Processes</w:t>
            </w:r>
          </w:p>
        </w:tc>
        <w:tc>
          <w:tcPr>
            <w:tcW w:type="dxa" w:w="277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Typical Outputs</w:t>
            </w:r>
          </w:p>
        </w:tc>
      </w:tr>
      <w:tr>
        <w:trPr>
          <w:cantSplit/>
        </w:trPr>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Governance &amp; Leadership</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Context, policy, oversight, roles, compliance function, culture expectations</w:t>
            </w:r>
          </w:p>
        </w:tc>
        <w:tc>
          <w:tcPr>
            <w:tcW w:type="dxa" w:w="277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Policy, governance decisions, assigned accountability</w:t>
            </w:r>
          </w:p>
        </w:tc>
      </w:tr>
      <w:tr>
        <w:trPr>
          <w:cantSplit/>
        </w:trPr>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Planning</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Compliance obligations, risk assessment, objectives, action planning</w:t>
            </w:r>
          </w:p>
        </w:tc>
        <w:tc>
          <w:tcPr>
            <w:tcW w:type="dxa" w:w="277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Obligations register, risk register, objectives / plans</w:t>
            </w:r>
          </w:p>
        </w:tc>
      </w:tr>
      <w:tr>
        <w:trPr>
          <w:cantSplit/>
        </w:trPr>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Support</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Resources, competence, awareness, communication, documented information</w:t>
            </w:r>
          </w:p>
        </w:tc>
        <w:tc>
          <w:tcPr>
            <w:tcW w:type="dxa" w:w="277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Training records, communication records, controlled documents</w:t>
            </w:r>
          </w:p>
        </w:tc>
      </w:tr>
      <w:tr>
        <w:trPr>
          <w:cantSplit/>
        </w:trPr>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Operation</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Controls, due diligence, third-party/supplier controls, change management, speak-up, investigations</w:t>
            </w:r>
          </w:p>
        </w:tc>
        <w:tc>
          <w:tcPr>
            <w:tcW w:type="dxa" w:w="277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Control evidence, due diligence files, case records, remediation</w:t>
            </w:r>
          </w:p>
        </w:tc>
      </w:tr>
      <w:tr>
        <w:trPr>
          <w:cantSplit/>
        </w:trPr>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Performance Evaluation</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Monitoring, compliance evaluation, audit, reporting, management review</w:t>
            </w:r>
          </w:p>
        </w:tc>
        <w:tc>
          <w:tcPr>
            <w:tcW w:type="dxa" w:w="277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Monitoring results, audit reports, review decisions</w:t>
            </w:r>
          </w:p>
        </w:tc>
      </w:tr>
      <w:tr>
        <w:trPr>
          <w:cantSplit/>
        </w:trPr>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Improvement</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Correction, root cause, corrective action, lessons learned, continual improvement</w:t>
            </w:r>
          </w:p>
        </w:tc>
        <w:tc>
          <w:tcPr>
            <w:tcW w:type="dxa" w:w="277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CAPA records, updated risks/controls, improvement decisions</w:t>
            </w:r>
          </w:p>
        </w:tc>
      </w:tr>
    </w:tbl>
    <w:p>
      <w:pPr>
        <w:pStyle w:val="Heading1"/>
        <w:keepNext/>
        <w:spacing w:before="120" w:after="60" w:line="252" w:lineRule="auto"/>
      </w:pPr>
      <w:r>
        <w:rPr>
          <w:rFonts w:ascii="Cambria" w:hAnsi="Cambria" w:eastAsia="Cambria"/>
          <w:b/>
          <w:color w:val="1F4E79"/>
          <w:sz w:val="24"/>
        </w:rPr>
        <w:t>5. Leadership, Governance and Compliance Function</w:t>
      </w:r>
    </w:p>
    <w:p>
      <w:pPr>
        <w:spacing w:before="0" w:after="80" w:line="252" w:lineRule="auto"/>
      </w:pPr>
      <w:r>
        <w:rPr>
          <w:rFonts w:ascii="Cambria" w:hAnsi="Cambria" w:eastAsia="Cambria"/>
          <w:i w:val="0"/>
          <w:sz w:val="20"/>
        </w:rPr>
        <w:t>Top management is accountable for integrating compliance into organizational direction, allocating resources, reinforcing expected conduct and ensuring material compliance information reaches the appropriate oversight level. Where a governing body exists, it receives information sufficient to exercise oversight consistent with its mandate.</w:t>
      </w:r>
    </w:p>
    <w:p>
      <w:pPr>
        <w:spacing w:before="0" w:after="80" w:line="252" w:lineRule="auto"/>
      </w:pPr>
      <w:r>
        <w:rPr>
          <w:rFonts w:ascii="Cambria" w:hAnsi="Cambria" w:eastAsia="Cambria"/>
          <w:i w:val="0"/>
          <w:sz w:val="20"/>
        </w:rPr>
        <w:t>The compliance function is established with authority, competence, access and resources proportionate to assigned responsibilities. Its organizational positioning supports objective challenge, escalation and access to top management or the governing body when necessary.</w:t>
      </w:r>
    </w:p>
    <w:p>
      <w:pPr>
        <w:pStyle w:val="Heading1"/>
        <w:keepNext/>
        <w:spacing w:before="120" w:after="60" w:line="252" w:lineRule="auto"/>
      </w:pPr>
      <w:r>
        <w:rPr>
          <w:rFonts w:ascii="Cambria" w:hAnsi="Cambria" w:eastAsia="Cambria"/>
          <w:b/>
          <w:color w:val="1F4E79"/>
          <w:sz w:val="24"/>
        </w:rPr>
        <w:t>6. Compliance Policy, Culture and Responsibilities</w:t>
      </w:r>
    </w:p>
    <w:p>
      <w:pPr>
        <w:spacing w:before="0" w:after="80" w:line="252" w:lineRule="auto"/>
      </w:pPr>
      <w:r>
        <w:rPr>
          <w:rFonts w:ascii="Cambria" w:hAnsi="Cambria" w:eastAsia="Cambria"/>
          <w:i w:val="0"/>
          <w:sz w:val="20"/>
        </w:rPr>
        <w:t>The compliance policy communicates the organization’s commitment to applicable compliance obligations, ethical conduct, speaking up, non-retaliation where applicable, investigation, corrective action and continual improvement. Managers translate these commitments into role-specific expectations and operating controls.</w:t>
      </w:r>
    </w:p>
    <w:p>
      <w:pPr>
        <w:pStyle w:val="ListBullet"/>
        <w:spacing w:before="0" w:after="50" w:line="252" w:lineRule="auto"/>
      </w:pPr>
      <w:r>
        <w:rPr>
          <w:rFonts w:ascii="Cambria" w:hAnsi="Cambria" w:eastAsia="Cambria"/>
          <w:sz w:val="20"/>
        </w:rPr>
        <w:t>Compliance accountability remains with business/process owners for activities under their control.</w:t>
      </w:r>
    </w:p>
    <w:p>
      <w:pPr>
        <w:pStyle w:val="ListBullet"/>
        <w:spacing w:before="0" w:after="50" w:line="252" w:lineRule="auto"/>
      </w:pPr>
      <w:r>
        <w:rPr>
          <w:rFonts w:ascii="Cambria" w:hAnsi="Cambria" w:eastAsia="Cambria"/>
          <w:sz w:val="20"/>
        </w:rPr>
        <w:t>The compliance function advises, facilitates, monitors and challenges in accordance with its approved mandate.</w:t>
      </w:r>
    </w:p>
    <w:p>
      <w:pPr>
        <w:pStyle w:val="ListBullet"/>
        <w:spacing w:before="0" w:after="50" w:line="252" w:lineRule="auto"/>
      </w:pPr>
      <w:r>
        <w:rPr>
          <w:rFonts w:ascii="Cambria" w:hAnsi="Cambria" w:eastAsia="Cambria"/>
          <w:sz w:val="20"/>
        </w:rPr>
        <w:t>Personnel are expected to understand and follow relevant obligations, policies, controls and reporting requirements.</w:t>
      </w:r>
    </w:p>
    <w:p>
      <w:pPr>
        <w:pStyle w:val="Heading1"/>
        <w:keepNext/>
        <w:spacing w:before="120" w:after="60" w:line="252" w:lineRule="auto"/>
      </w:pPr>
      <w:r>
        <w:rPr>
          <w:rFonts w:ascii="Cambria" w:hAnsi="Cambria" w:eastAsia="Cambria"/>
          <w:b/>
          <w:color w:val="1F4E79"/>
          <w:sz w:val="24"/>
        </w:rPr>
        <w:t>7. Compliance Obligations and Risk-Based Planning</w:t>
      </w:r>
    </w:p>
    <w:p>
      <w:pPr>
        <w:spacing w:before="0" w:after="80" w:line="252" w:lineRule="auto"/>
      </w:pPr>
      <w:r>
        <w:rPr>
          <w:rFonts w:ascii="Cambria" w:hAnsi="Cambria" w:eastAsia="Cambria"/>
          <w:i w:val="0"/>
          <w:sz w:val="20"/>
        </w:rPr>
        <w:t>Compliance obligations are identified, accessed and updated through approved sources. Applicability, ownership, operational impacts and evaluation evidence are recorded so that obligations can be traced into compliance risks, controls, training, monitoring and evaluation activities.</w:t>
      </w:r>
    </w:p>
    <w:p>
      <w:pPr>
        <w:spacing w:before="0" w:after="80" w:line="252" w:lineRule="auto"/>
      </w:pPr>
      <w:r>
        <w:rPr>
          <w:rFonts w:ascii="Cambria" w:hAnsi="Cambria" w:eastAsia="Cambria"/>
          <w:i w:val="0"/>
          <w:sz w:val="20"/>
        </w:rPr>
        <w:t>Compliance risks are assessed using documented criteria that reflect likelihood, consequence, exposure, control design/operation and organizational context. Risk assessments are revisited after significant legal, regulatory, strategic, operational, ownership, product, market or third-party changes.</w:t>
      </w:r>
    </w:p>
    <w:p>
      <w:pPr>
        <w:pStyle w:val="Heading1"/>
        <w:keepNext/>
        <w:spacing w:before="120" w:after="60" w:line="252" w:lineRule="auto"/>
      </w:pPr>
      <w:r>
        <w:rPr>
          <w:rFonts w:ascii="Cambria" w:hAnsi="Cambria" w:eastAsia="Cambria"/>
          <w:b/>
          <w:color w:val="1F4E79"/>
          <w:sz w:val="24"/>
        </w:rPr>
        <w:t>8. Objectives and Operational Controls</w:t>
      </w:r>
    </w:p>
    <w:p>
      <w:pPr>
        <w:spacing w:before="0" w:after="80" w:line="252" w:lineRule="auto"/>
      </w:pPr>
      <w:r>
        <w:rPr>
          <w:rFonts w:ascii="Cambria" w:hAnsi="Cambria" w:eastAsia="Cambria"/>
          <w:i w:val="0"/>
          <w:sz w:val="20"/>
        </w:rPr>
        <w:t>CMS objectives are established for material compliance needs and supported by measurable indicators where useful. Operational controls are designed and maintained for priority compliance risks, with clear owners, operating criteria and retained evidence.</w:t>
      </w:r>
    </w:p>
    <w:tbl>
      <w:tblPr>
        <w:tblW w:type="auto" w:w="0"/>
        <w:jc w:val="center"/>
        <w:tblLayout w:type="fixed"/>
        <w:tblLook w:val="04A0"/>
      </w:tblPr>
      <w:tblGrid>
        <w:gridCol w:w="4677"/>
        <w:gridCol w:w="4677"/>
      </w:tblGrid>
      <w:tr>
        <w:trPr>
          <w:tblHeader w:val="true"/>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Control Domain</w:t>
            </w:r>
          </w:p>
        </w:tc>
        <w:tc>
          <w:tcPr>
            <w:tcW w:type="dxa" w:w="657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Control Intent</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Approvals / Segregation</w:t>
            </w:r>
          </w:p>
        </w:tc>
        <w:tc>
          <w:tcPr>
            <w:tcW w:type="dxa" w:w="657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Prevent unauthorized or conflicted decisions in compliance-sensitive activities.</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Due Diligence</w:t>
            </w:r>
          </w:p>
        </w:tc>
        <w:tc>
          <w:tcPr>
            <w:tcW w:type="dxa" w:w="657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Identify and address third-party or transaction-specific compliance risk before and during the relationship.</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Contractual Controls</w:t>
            </w:r>
          </w:p>
        </w:tc>
        <w:tc>
          <w:tcPr>
            <w:tcW w:type="dxa" w:w="657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Communicate compliance expectations, cooperation requirements, information/audit rights and remedies proportionate to risk.</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Financial / Record Controls</w:t>
            </w:r>
          </w:p>
        </w:tc>
        <w:tc>
          <w:tcPr>
            <w:tcW w:type="dxa" w:w="657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Support accurate, traceable and appropriately approved transactions and records.</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Training / Awareness</w:t>
            </w:r>
          </w:p>
        </w:tc>
        <w:tc>
          <w:tcPr>
            <w:tcW w:type="dxa" w:w="657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Build role-specific competence and awareness for relevant obligations and controls.</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Monitoring / Testing</w:t>
            </w:r>
          </w:p>
        </w:tc>
        <w:tc>
          <w:tcPr>
            <w:tcW w:type="dxa" w:w="657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Detect control failures, trends or emerging risk and provide evidence for management decisions.</w:t>
            </w:r>
          </w:p>
        </w:tc>
      </w:tr>
    </w:tbl>
    <w:p>
      <w:pPr>
        <w:pStyle w:val="Heading1"/>
        <w:keepNext/>
        <w:spacing w:before="120" w:after="60" w:line="252" w:lineRule="auto"/>
      </w:pPr>
      <w:r>
        <w:rPr>
          <w:rFonts w:ascii="Cambria" w:hAnsi="Cambria" w:eastAsia="Cambria"/>
          <w:b/>
          <w:color w:val="1F4E79"/>
          <w:sz w:val="24"/>
        </w:rPr>
        <w:t>9. Third Parties and Suppliers</w:t>
      </w:r>
    </w:p>
    <w:p>
      <w:pPr>
        <w:spacing w:before="0" w:after="80" w:line="252" w:lineRule="auto"/>
      </w:pPr>
      <w:r>
        <w:rPr>
          <w:rFonts w:ascii="Cambria" w:hAnsi="Cambria" w:eastAsia="Cambria"/>
          <w:i w:val="0"/>
          <w:sz w:val="20"/>
        </w:rPr>
        <w:t>Third-party and supplier compliance controls are proportionate to relationship purpose, risk tier, geography, service/product, access, payment model and applicable obligations. The lifecycle may include risk classification, due diligence, approval, contract controls, onboarding, ongoing monitoring, refresh, issue escalation and exit decisions.</w:t>
      </w:r>
    </w:p>
    <w:p>
      <w:pPr>
        <w:pStyle w:val="Heading1"/>
        <w:keepNext/>
        <w:spacing w:before="120" w:after="60" w:line="252" w:lineRule="auto"/>
      </w:pPr>
      <w:r>
        <w:rPr>
          <w:rFonts w:ascii="Cambria" w:hAnsi="Cambria" w:eastAsia="Cambria"/>
          <w:b/>
          <w:color w:val="1F4E79"/>
          <w:sz w:val="24"/>
        </w:rPr>
        <w:t>10. Speak-Up, Concerns and Investigations</w:t>
      </w:r>
    </w:p>
    <w:p>
      <w:pPr>
        <w:spacing w:before="0" w:after="80" w:line="252" w:lineRule="auto"/>
      </w:pPr>
      <w:r>
        <w:rPr>
          <w:rFonts w:ascii="Cambria" w:hAnsi="Cambria" w:eastAsia="Cambria"/>
          <w:i w:val="0"/>
          <w:sz w:val="20"/>
        </w:rPr>
        <w:t>The organization maintains accessible channels for raising compliance concerns and defines how confidentiality, protection from inappropriate retaliation, conflicts, triage, investigation, escalation, documentation and case closure are handled. Investigations are assigned based on competence, independence and seriousness of the matter.</w:t>
      </w:r>
    </w:p>
    <w:tbl>
      <w:tblPr>
        <w:tblW w:type="auto" w:w="0"/>
        <w:jc w:val="center"/>
        <w:tblLayout w:type="autofit"/>
        <w:tblLook w:val="04A0"/>
      </w:tblPr>
      <w:tblGrid>
        <w:gridCol w:w="9355"/>
      </w:tblGrid>
      <w:tr>
        <w:tc>
          <w:tcPr>
            <w:tcW w:type="dxa" w:w="9355"/>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A case-management process should distinguish allegations, substantiated facts and legal conclusions. Material matters should be escalated promptly through approved governance channels and, where necessary, to qualified legal counsel.</w:t>
            </w:r>
          </w:p>
        </w:tc>
      </w:tr>
    </w:tbl>
    <w:p>
      <w:pPr>
        <w:spacing w:after="20"/>
      </w:pPr>
    </w:p>
    <w:p>
      <w:pPr>
        <w:pStyle w:val="Heading1"/>
        <w:keepNext/>
        <w:spacing w:before="120" w:after="60" w:line="252" w:lineRule="auto"/>
      </w:pPr>
      <w:r>
        <w:rPr>
          <w:rFonts w:ascii="Cambria" w:hAnsi="Cambria" w:eastAsia="Cambria"/>
          <w:b/>
          <w:color w:val="1F4E79"/>
          <w:sz w:val="24"/>
        </w:rPr>
        <w:t>11. Competence, Awareness and Communication</w:t>
      </w:r>
    </w:p>
    <w:p>
      <w:pPr>
        <w:spacing w:before="0" w:after="80" w:line="252" w:lineRule="auto"/>
      </w:pPr>
      <w:r>
        <w:rPr>
          <w:rFonts w:ascii="Cambria" w:hAnsi="Cambria" w:eastAsia="Cambria"/>
          <w:i w:val="0"/>
          <w:sz w:val="20"/>
        </w:rPr>
        <w:t>Competence needs are determined for compliance-relevant roles, including leadership, compliance personnel, control owners, investigators, auditors and selected third-party-facing roles. Training and communication are risk-based, role-appropriate, documented and refreshed when responsibilities or risks change.</w:t>
      </w:r>
    </w:p>
    <w:p>
      <w:pPr>
        <w:pStyle w:val="Heading1"/>
        <w:keepNext/>
        <w:spacing w:before="120" w:after="60" w:line="252" w:lineRule="auto"/>
      </w:pPr>
      <w:r>
        <w:rPr>
          <w:rFonts w:ascii="Cambria" w:hAnsi="Cambria" w:eastAsia="Cambria"/>
          <w:b/>
          <w:color w:val="1F4E79"/>
          <w:sz w:val="24"/>
        </w:rPr>
        <w:t>12. Documented Information</w:t>
      </w:r>
    </w:p>
    <w:p>
      <w:pPr>
        <w:spacing w:before="0" w:after="80" w:line="252" w:lineRule="auto"/>
      </w:pPr>
      <w:r>
        <w:rPr>
          <w:rFonts w:ascii="Cambria" w:hAnsi="Cambria" w:eastAsia="Cambria"/>
          <w:i w:val="0"/>
          <w:sz w:val="20"/>
        </w:rPr>
        <w:t>CMS documents and records are created, approved, updated, retained, protected and disposed of according to the documented-information procedure. Record controls support traceability, confidentiality, accessibility, evidential integrity and applicable retention requirements.</w:t>
      </w:r>
    </w:p>
    <w:p>
      <w:pPr>
        <w:pStyle w:val="Heading1"/>
        <w:keepNext/>
        <w:spacing w:before="120" w:after="60" w:line="252" w:lineRule="auto"/>
      </w:pPr>
      <w:r>
        <w:rPr>
          <w:rFonts w:ascii="Cambria" w:hAnsi="Cambria" w:eastAsia="Cambria"/>
          <w:b/>
          <w:color w:val="1F4E79"/>
          <w:sz w:val="24"/>
        </w:rPr>
        <w:t>13. Performance Evaluation</w:t>
      </w:r>
    </w:p>
    <w:p>
      <w:pPr>
        <w:spacing w:before="0" w:after="80" w:line="252" w:lineRule="auto"/>
      </w:pPr>
      <w:r>
        <w:rPr>
          <w:rFonts w:ascii="Cambria" w:hAnsi="Cambria" w:eastAsia="Cambria"/>
          <w:i w:val="0"/>
          <w:sz w:val="20"/>
        </w:rPr>
        <w:t>The organization monitors CMS performance through control testing, compliance evaluations, indicators, concern/investigation trends, third-party and supplier reviews, internal audits and management reporting. Compliance conclusions are supported by objective evidence against identified obligations or approved internal criteria.</w:t>
      </w:r>
    </w:p>
    <w:p>
      <w:pPr>
        <w:pStyle w:val="Heading1"/>
        <w:keepNext/>
        <w:spacing w:before="120" w:after="60" w:line="252" w:lineRule="auto"/>
      </w:pPr>
      <w:r>
        <w:rPr>
          <w:rFonts w:ascii="Cambria" w:hAnsi="Cambria" w:eastAsia="Cambria"/>
          <w:b/>
          <w:color w:val="1F4E79"/>
          <w:sz w:val="24"/>
        </w:rPr>
        <w:t>14. Internal Audit</w:t>
      </w:r>
    </w:p>
    <w:p>
      <w:pPr>
        <w:spacing w:before="0" w:after="80" w:line="252" w:lineRule="auto"/>
      </w:pPr>
      <w:r>
        <w:rPr>
          <w:rFonts w:ascii="Cambria" w:hAnsi="Cambria" w:eastAsia="Cambria"/>
          <w:i w:val="0"/>
          <w:sz w:val="20"/>
        </w:rPr>
        <w:t>Internal compliance audits are planned using risk, significance, change and prior results. Auditors are competent and sufficiently independent/objective for the work assigned. Findings identify the criterion, evidence and demonstrated gap; actions are tracked to closure and effectiveness verification where appropriate.</w:t>
      </w:r>
    </w:p>
    <w:p>
      <w:pPr>
        <w:pStyle w:val="Heading1"/>
        <w:keepNext/>
        <w:spacing w:before="120" w:after="60" w:line="252" w:lineRule="auto"/>
      </w:pPr>
      <w:r>
        <w:rPr>
          <w:rFonts w:ascii="Cambria" w:hAnsi="Cambria" w:eastAsia="Cambria"/>
          <w:b/>
          <w:color w:val="1F4E79"/>
          <w:sz w:val="24"/>
        </w:rPr>
        <w:t>15. Management Review and Governance Reporting</w:t>
      </w:r>
    </w:p>
    <w:p>
      <w:pPr>
        <w:spacing w:before="0" w:after="80" w:line="252" w:lineRule="auto"/>
      </w:pPr>
      <w:r>
        <w:rPr>
          <w:rFonts w:ascii="Cambria" w:hAnsi="Cambria" w:eastAsia="Cambria"/>
          <w:i w:val="0"/>
          <w:sz w:val="20"/>
        </w:rPr>
        <w:t>Top management reviews CMS suitability, adequacy and effectiveness at planned intervals. Inputs include context changes, obligations, risk profile, objectives, monitoring/evaluation results, concerns/investigations, audit results, third-party performance, resources, corrective actions and improvement opportunities. Decisions and actions are recorded.</w:t>
      </w:r>
    </w:p>
    <w:p>
      <w:pPr>
        <w:pStyle w:val="Heading1"/>
        <w:keepNext/>
        <w:spacing w:before="120" w:after="60" w:line="252" w:lineRule="auto"/>
      </w:pPr>
      <w:r>
        <w:rPr>
          <w:rFonts w:ascii="Cambria" w:hAnsi="Cambria" w:eastAsia="Cambria"/>
          <w:b/>
          <w:color w:val="1F4E79"/>
          <w:sz w:val="24"/>
        </w:rPr>
        <w:t>16. Nonconformity, Corrective Action and Improvement</w:t>
      </w:r>
    </w:p>
    <w:p>
      <w:pPr>
        <w:spacing w:before="0" w:after="80" w:line="252" w:lineRule="auto"/>
      </w:pPr>
      <w:r>
        <w:rPr>
          <w:rFonts w:ascii="Cambria" w:hAnsi="Cambria" w:eastAsia="Cambria"/>
          <w:i w:val="0"/>
          <w:sz w:val="20"/>
        </w:rPr>
        <w:t>The organization responds to CMS nonconformities and material control failures through containment/correction, cause evaluation, corrective action, system updates and effectiveness verification. Lessons learned are fed back into risk assessment, controls, competence, communication and governance.</w:t>
      </w:r>
    </w:p>
    <w:p>
      <w:pPr>
        <w:pStyle w:val="Heading1"/>
        <w:keepNext/>
        <w:spacing w:before="120" w:after="60" w:line="252" w:lineRule="auto"/>
      </w:pPr>
      <w:r>
        <w:rPr>
          <w:rFonts w:ascii="Cambria" w:hAnsi="Cambria" w:eastAsia="Cambria"/>
          <w:b/>
          <w:color w:val="1F4E79"/>
          <w:sz w:val="24"/>
        </w:rPr>
        <w:t>17. CMS Document Structure</w:t>
      </w:r>
    </w:p>
    <w:tbl>
      <w:tblPr>
        <w:tblW w:type="auto" w:w="0"/>
        <w:jc w:val="center"/>
        <w:tblLayout w:type="fixed"/>
        <w:tblLook w:val="04A0"/>
      </w:tblPr>
      <w:tblGrid>
        <w:gridCol w:w="4677"/>
        <w:gridCol w:w="4677"/>
      </w:tblGrid>
      <w:tr>
        <w:trPr>
          <w:tblHeader w:val="true"/>
        </w:trPr>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Level</w:t>
            </w:r>
          </w:p>
        </w:tc>
        <w:tc>
          <w:tcPr>
            <w:tcW w:type="dxa" w:w="674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Examples</w:t>
            </w:r>
          </w:p>
        </w:tc>
      </w:tr>
      <w:tr>
        <w:trPr>
          <w:cantSplit/>
        </w:trPr>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Governance / Direction</w:t>
            </w:r>
          </w:p>
        </w:tc>
        <w:tc>
          <w:tcPr>
            <w:tcW w:type="dxa" w:w="674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Compliance policy, CMS manual, governance framework, committee terms of reference</w:t>
            </w:r>
          </w:p>
        </w:tc>
      </w:tr>
      <w:tr>
        <w:trPr>
          <w:cantSplit/>
        </w:trPr>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Processes / Procedures</w:t>
            </w:r>
          </w:p>
        </w:tc>
        <w:tc>
          <w:tcPr>
            <w:tcW w:type="dxa" w:w="674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Obligations management, risk assessment, due diligence, concerns/investigations, audit, corrective action, documented information</w:t>
            </w:r>
          </w:p>
        </w:tc>
      </w:tr>
      <w:tr>
        <w:trPr>
          <w:cantSplit/>
        </w:trPr>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Tools / Forms / Registers</w:t>
            </w:r>
          </w:p>
        </w:tc>
        <w:tc>
          <w:tcPr>
            <w:tcW w:type="dxa" w:w="674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Obligations register, risk register, audit checklist, third-party evaluation, action trackers, case forms</w:t>
            </w:r>
          </w:p>
        </w:tc>
      </w:tr>
      <w:tr>
        <w:trPr>
          <w:cantSplit/>
        </w:trPr>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Evidence / Records</w:t>
            </w:r>
          </w:p>
        </w:tc>
        <w:tc>
          <w:tcPr>
            <w:tcW w:type="dxa" w:w="674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Approvals, monitoring results, training, due diligence, investigation records, audit reports, management review minutes</w:t>
            </w:r>
          </w:p>
        </w:tc>
      </w:tr>
    </w:tbl>
    <w:p>
      <w:pPr>
        <w:pStyle w:val="Heading1"/>
        <w:keepNext/>
        <w:spacing w:before="120" w:after="60" w:line="252" w:lineRule="auto"/>
      </w:pPr>
      <w:r>
        <w:rPr>
          <w:rFonts w:ascii="Cambria" w:hAnsi="Cambria" w:eastAsia="Cambria"/>
          <w:b/>
          <w:color w:val="1F4E79"/>
          <w:sz w:val="24"/>
        </w:rPr>
        <w:t>18. References</w:t>
      </w:r>
    </w:p>
    <w:p>
      <w:pPr>
        <w:pStyle w:val="ListBullet"/>
        <w:spacing w:before="0" w:after="50" w:line="252" w:lineRule="auto"/>
      </w:pPr>
      <w:r>
        <w:rPr>
          <w:rFonts w:ascii="Cambria" w:hAnsi="Cambria" w:eastAsia="Cambria"/>
          <w:sz w:val="20"/>
        </w:rPr>
        <w:t>ISO 37301:2021 — Compliance management systems — Requirements with guidance for use.</w:t>
      </w:r>
    </w:p>
    <w:p>
      <w:pPr>
        <w:pStyle w:val="ListBullet"/>
        <w:spacing w:before="0" w:after="50" w:line="252" w:lineRule="auto"/>
      </w:pPr>
      <w:r>
        <w:rPr>
          <w:rFonts w:ascii="Cambria" w:hAnsi="Cambria" w:eastAsia="Cambria"/>
          <w:sz w:val="20"/>
        </w:rPr>
        <w:t>ISO 37301:2021/Amd 1:2024 — Climate action changes.</w:t>
      </w:r>
    </w:p>
    <w:p>
      <w:pPr>
        <w:pStyle w:val="ListBullet"/>
        <w:spacing w:before="0" w:after="50" w:line="252" w:lineRule="auto"/>
      </w:pPr>
      <w:r>
        <w:rPr>
          <w:rFonts w:ascii="Cambria" w:hAnsi="Cambria" w:eastAsia="Cambria"/>
          <w:sz w:val="20"/>
        </w:rPr>
        <w:t>Applicable laws, regulations, permits, licenses, contracts, codes and other obligations maintained by the organization in controlled compliance registers.</w:t>
      </w:r>
    </w:p>
    <w:p>
      <w:pPr>
        <w:pStyle w:val="Heading1"/>
        <w:keepNext/>
        <w:spacing w:before="120" w:after="60" w:line="252" w:lineRule="auto"/>
      </w:pPr>
      <w:r>
        <w:rPr>
          <w:rFonts w:ascii="Cambria" w:hAnsi="Cambria" w:eastAsia="Cambria"/>
          <w:b/>
          <w:color w:val="1F4E79"/>
          <w:sz w:val="24"/>
        </w:rPr>
        <w:t>Revision and Approval</w:t>
      </w:r>
    </w:p>
    <w:tbl>
      <w:tblPr>
        <w:tblW w:type="auto" w:w="0"/>
        <w:jc w:val="center"/>
        <w:tblLayout w:type="fixed"/>
        <w:tblLook w:val="04A0"/>
      </w:tblPr>
      <w:tblGrid>
        <w:gridCol w:w="1871"/>
        <w:gridCol w:w="1871"/>
        <w:gridCol w:w="1871"/>
        <w:gridCol w:w="1871"/>
        <w:gridCol w:w="1871"/>
      </w:tblGrid>
      <w:tr>
        <w:trPr>
          <w:tblHeader w:val="true"/>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Version</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Date</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Change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Document Owner</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Approver</w:t>
            </w:r>
          </w:p>
        </w:tc>
      </w:tr>
      <w:tr>
        <w:trPr>
          <w:cantSplit/>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1.0</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2026-09-18</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Initial issue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Chief Compliance Officer</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Top Management / Governing Body</w:t>
            </w:r>
          </w:p>
        </w:tc>
      </w:tr>
    </w:tbl>
    <w:sectPr w:rsidR="00FC693F" w:rsidRPr="0006063C" w:rsidSect="00034616">
      <w:headerReference w:type="default" r:id="rId9"/>
      <w:footerReference w:type="default" r:id="rId10"/>
      <w:pgSz w:w="11906" w:h="16838"/>
      <w:pgMar w:top="1134" w:right="1134" w:bottom="1134" w:left="1417" w:header="39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Footer"/>
      <w:spacing w:after="20"/>
      <w:jc w:val="center"/>
    </w:pPr>
    <w:r/>
    <w:r>
      <w:rPr>
        <w:rFonts w:ascii="Cambria" w:hAnsi="Cambria" w:eastAsia="Cambria"/>
        <w:color w:val="666666"/>
        <w:sz w:val="16"/>
      </w:rPr>
      <w:t>Copyright © ISO Toolkits | www.iso-toolkits.org | info@iso-toolkits.org</w:t>
    </w:r>
  </w:p>
  <w:p>
    <w:pPr>
      <w:spacing w:after="0"/>
      <w:jc w:val="center"/>
    </w:pPr>
    <w:r>
      <w:rPr>
        <w:rFonts w:ascii="Cambria" w:hAnsi="Cambria" w:eastAsia="Cambria"/>
        <w:color w:val="666666"/>
        <w:sz w:val="16"/>
      </w:rPr>
      <w:t xml:space="preserve">CONTROLLED DOCUMENT | INTERNAL | Page </w:t>
    </w:r>
    <w:r>
      <w:rPr>
        <w:rFonts w:ascii="Cambria" w:hAnsi="Cambria" w:eastAsia="Cambria"/>
        <w:color w:val="666666"/>
        <w:sz w:val="16"/>
      </w:rPr>
      <w:fldChar w:fldCharType="begin"/>
      <w:instrText xml:space="preserve"> PAGE </w:instrText>
      <w:fldChar w:fldCharType="end"/>
    </w:r>
    <w:r>
      <w:rPr>
        <w:rFonts w:ascii="Cambria" w:hAnsi="Cambria" w:eastAsia="Cambria"/>
        <w:color w:val="666666"/>
        <w:sz w:val="16"/>
      </w:rPr>
      <w:t xml:space="preserve"> of </w:t>
    </w:r>
    <w:r>
      <w:rPr>
        <w:rFonts w:ascii="Cambria" w:hAnsi="Cambria" w:eastAsia="Cambria"/>
        <w:color w:val="666666"/>
        <w:sz w:val="16"/>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Header"/>
      <w:spacing w:after="0"/>
    </w:pPr>
    <w:r/>
  </w:p>
  <w:tbl>
    <w:tblPr>
      <w:tblW w:type="auto" w:w="0"/>
      <w:jc w:val="center"/>
      <w:tblLayout w:type="fixed"/>
      <w:tblLook w:val="04A0"/>
    </w:tblPr>
    <w:tblGrid>
      <w:gridCol w:w="3118"/>
      <w:gridCol w:w="3118"/>
      <w:gridCol w:w="3118"/>
    </w:tblGrid>
    <w:tr>
      <w:tc>
        <w:tcPr>
          <w:tcW w:type="dxa" w:w="1814"/>
          <w:tcMar>
            <w:top w:w="20" w:type="dxa"/>
            <w:left w:w="40" w:type="dxa"/>
            <w:bottom w:w="20" w:type="dxa"/>
            <w:right w:w="40" w:type="dxa"/>
          </w:tcMar>
        </w:tcPr>
        <w:p>
          <w:pPr>
            <w:jc w:val="center"/>
          </w:pPr>
          <w:r>
            <w:rPr>
              <w:rFonts w:ascii="Cambria" w:hAnsi="Cambria" w:eastAsia="Cambria"/>
              <w:color w:val="666666"/>
              <w:sz w:val="16"/>
            </w:rPr>
            <w:t>ORGANIZATION</w:t>
            <w:br/>
            <w:t>LOGO</w:t>
          </w:r>
        </w:p>
      </w:tc>
      <w:tc>
        <w:tcPr>
          <w:tcW w:type="dxa" w:w="5216"/>
          <w:tcMar>
            <w:top w:w="20" w:type="dxa"/>
            <w:left w:w="40" w:type="dxa"/>
            <w:bottom w:w="20" w:type="dxa"/>
            <w:right w:w="40" w:type="dxa"/>
          </w:tcMar>
        </w:tcPr>
        <w:p>
          <w:pPr>
            <w:jc w:val="center"/>
          </w:pPr>
          <w:r>
            <w:rPr>
              <w:rFonts w:ascii="Cambria" w:hAnsi="Cambria" w:eastAsia="Cambria"/>
              <w:color w:val="666666"/>
              <w:sz w:val="16"/>
            </w:rPr>
            <w:t>[ORGANIZATION NAME]</w:t>
            <w:br/>
          </w:r>
          <w:r>
            <w:rPr>
              <w:rFonts w:ascii="Cambria" w:hAnsi="Cambria" w:eastAsia="Cambria"/>
              <w:b/>
              <w:color w:val="1F4E79"/>
              <w:sz w:val="18"/>
            </w:rPr>
            <w:t>Compliance Management Manual</w:t>
          </w:r>
        </w:p>
      </w:tc>
      <w:tc>
        <w:tcPr>
          <w:tcW w:type="dxa" w:w="2324"/>
          <w:tcMar>
            <w:top w:w="20" w:type="dxa"/>
            <w:left w:w="40" w:type="dxa"/>
            <w:bottom w:w="20" w:type="dxa"/>
            <w:right w:w="40" w:type="dxa"/>
          </w:tcMar>
        </w:tcPr>
        <w:p>
          <w:pPr>
            <w:jc w:val="right"/>
          </w:pPr>
          <w:r>
            <w:rPr>
              <w:rFonts w:ascii="Cambria" w:hAnsi="Cambria" w:eastAsia="Cambria"/>
              <w:b/>
              <w:color w:val="666666"/>
              <w:sz w:val="16"/>
            </w:rPr>
            <w:t>CMS-MAN-001</w:t>
            <w:br/>
          </w:r>
          <w:r>
            <w:rPr>
              <w:rFonts w:ascii="Cambria" w:hAnsi="Cambria" w:eastAsia="Cambria"/>
              <w:color w:val="666666"/>
              <w:sz w:val="16"/>
            </w:rPr>
            <w:t>Version 1.0</w:t>
            <w:br/>
          </w:r>
          <w:r>
            <w:rPr>
              <w:rFonts w:ascii="Cambria" w:hAnsi="Cambria" w:eastAsia="Cambria"/>
              <w:color w:val="666666"/>
              <w:sz w:val="16"/>
            </w:rPr>
            <w:t>Effective 2026-09-18</w:t>
          </w:r>
        </w:p>
      </w:tc>
    </w:tr>
  </w:tbl>
  <w:p>
    <w:pPr>
      <w:spacing w:after="0"/>
      <w:pBdr>
        <w:bottom w:val="single" w:sz="8" w:color="1F4E79" w:space="1"/>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mbria" w:hAnsi="Cambria"/>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4E79"/>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mbria" w:hAnsi="Cambria"/>
      <w:sz w:val="20"/>
    </w:rPr>
  </w:style>
  <w:style w:type="paragraph" w:styleId="ListBullet2">
    <w:name w:val="List Bullet 2"/>
    <w:basedOn w:val="Normal"/>
    <w:uiPriority w:val="99"/>
    <w:unhideWhenUsed/>
    <w:rsid w:val="00326F90"/>
    <w:pPr>
      <w:numPr>
        <w:numId w:val="2"/>
      </w:numPr>
      <w:contextualSpacing/>
    </w:pPr>
    <w:rPr>
      <w:rFonts w:ascii="Cambria" w:hAnsi="Cambria"/>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dcterms:created xsi:type="dcterms:W3CDTF">2013-12-23T23:15:00Z</dcterms:created>
  <dcterms:modified xsi:type="dcterms:W3CDTF">2013-12-23T23:15:00Z</dcterms:modified>
  <cp:category/>
</cp:coreProperties>
</file>