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COMPLIANCE GAP ANALYSIS GUIDANCE</w:t>
      </w:r>
    </w:p>
    <w:p>
      <w:pPr>
        <w:spacing w:after="120"/>
      </w:pPr>
      <w:r>
        <w:rPr>
          <w:rFonts w:ascii="Cambria" w:hAnsi="Cambria" w:eastAsia="Cambria"/>
          <w:b/>
          <w:sz w:val="23"/>
        </w:rPr>
        <w:t>ISO 37301:2021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Compliance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a practical method for evaluating the current compliance management system (CMS) against the organization’s approved ISO 37301 assessment criteria and turning evidence-based gaps into an implementation plan.</w:t>
      </w:r>
    </w:p>
    <w:p>
      <w:pPr>
        <w:pStyle w:val="Heading1"/>
        <w:keepNext/>
        <w:spacing w:before="120" w:after="60" w:line="252" w:lineRule="auto"/>
      </w:pPr>
      <w:r>
        <w:rPr>
          <w:rFonts w:ascii="Cambria" w:hAnsi="Cambria" w:eastAsia="Cambria"/>
          <w:b/>
          <w:color w:val="1F4E79"/>
          <w:sz w:val="24"/>
        </w:rPr>
        <w:t>2. When to Use</w:t>
      </w:r>
    </w:p>
    <w:p>
      <w:pPr>
        <w:pStyle w:val="ListBullet"/>
        <w:spacing w:before="0" w:after="50" w:line="252" w:lineRule="auto"/>
      </w:pPr>
      <w:r>
        <w:rPr>
          <w:rFonts w:ascii="Cambria" w:hAnsi="Cambria" w:eastAsia="Cambria"/>
          <w:sz w:val="20"/>
        </w:rPr>
        <w:t>Initial ISO 37301 implementation or re-baselining.</w:t>
      </w:r>
    </w:p>
    <w:p>
      <w:pPr>
        <w:pStyle w:val="ListBullet"/>
        <w:spacing w:before="0" w:after="50" w:line="252" w:lineRule="auto"/>
      </w:pPr>
      <w:r>
        <w:rPr>
          <w:rFonts w:ascii="Cambria" w:hAnsi="Cambria" w:eastAsia="Cambria"/>
          <w:sz w:val="20"/>
        </w:rPr>
        <w:t>Pre-certification or pre-assurance readiness review.</w:t>
      </w:r>
    </w:p>
    <w:p>
      <w:pPr>
        <w:pStyle w:val="ListBullet"/>
        <w:spacing w:before="0" w:after="50" w:line="252" w:lineRule="auto"/>
      </w:pPr>
      <w:r>
        <w:rPr>
          <w:rFonts w:ascii="Cambria" w:hAnsi="Cambria" w:eastAsia="Cambria"/>
          <w:sz w:val="20"/>
        </w:rPr>
        <w:t>Major organizational, regulatory, ownership, market or operating-model change.</w:t>
      </w:r>
    </w:p>
    <w:p>
      <w:pPr>
        <w:pStyle w:val="ListBullet"/>
        <w:spacing w:before="0" w:after="50" w:line="252" w:lineRule="auto"/>
      </w:pPr>
      <w:r>
        <w:rPr>
          <w:rFonts w:ascii="Cambria" w:hAnsi="Cambria" w:eastAsia="Cambria"/>
          <w:sz w:val="20"/>
        </w:rPr>
        <w:t>Periodic maturity / effectiveness reassessment after the CMS has operated.</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ISO 37301:2021 remains the current edition and has Amendment 1:2024 on climate action. Use a licensed copy of the standard for final conformity decisions and confirm jurisdiction-specific compliance obligations separately.</w:t>
            </w:r>
          </w:p>
        </w:tc>
      </w:tr>
    </w:tbl>
    <w:p>
      <w:pPr>
        <w:spacing w:after="20"/>
      </w:pPr>
    </w:p>
    <w:p>
      <w:pPr>
        <w:pStyle w:val="Heading1"/>
        <w:keepNext/>
        <w:spacing w:before="120" w:after="60" w:line="252" w:lineRule="auto"/>
      </w:pPr>
      <w:r>
        <w:rPr>
          <w:rFonts w:ascii="Cambria" w:hAnsi="Cambria" w:eastAsia="Cambria"/>
          <w:b/>
          <w:color w:val="1F4E79"/>
          <w:sz w:val="24"/>
        </w:rPr>
        <w:t>3. Roles and Responsibilities</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Role</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Key Responsibilities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 / Governing Body</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Set assessment expectations, ensure access to evidence, resolve material barriers and review significant gaps.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Compliance Function</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Coordinate criteria, evidence sampling, interviews, findings, prioritization and reporting.</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Process / Obligation Owners</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Provide evidence, explain controls, validate factual accuracy and own remediation actions.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Independent Reviewer / Auditor</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Challenge evidence and conclusions where independence or assurance is required.</w:t>
            </w:r>
          </w:p>
        </w:tc>
      </w:tr>
    </w:tbl>
    <w:p>
      <w:pPr>
        <w:pStyle w:val="Heading1"/>
        <w:keepNext/>
        <w:spacing w:before="120" w:after="60" w:line="252" w:lineRule="auto"/>
      </w:pPr>
      <w:r>
        <w:rPr>
          <w:rFonts w:ascii="Cambria" w:hAnsi="Cambria" w:eastAsia="Cambria"/>
          <w:b/>
          <w:color w:val="1F4E79"/>
          <w:sz w:val="24"/>
        </w:rPr>
        <w:t>4. Assessment Preparation</w:t>
      </w:r>
    </w:p>
    <w:p>
      <w:pPr>
        <w:pStyle w:val="ListBullet"/>
        <w:spacing w:before="0" w:after="50" w:line="252" w:lineRule="auto"/>
      </w:pPr>
      <w:r>
        <w:rPr>
          <w:rFonts w:ascii="Cambria" w:hAnsi="Cambria" w:eastAsia="Cambria"/>
          <w:sz w:val="20"/>
        </w:rPr>
        <w:t>Confirm CMS scope, entities, activities, functions and locations to be assessed.</w:t>
      </w:r>
    </w:p>
    <w:p>
      <w:pPr>
        <w:pStyle w:val="ListBullet"/>
        <w:spacing w:before="0" w:after="50" w:line="252" w:lineRule="auto"/>
      </w:pPr>
      <w:r>
        <w:rPr>
          <w:rFonts w:ascii="Cambria" w:hAnsi="Cambria" w:eastAsia="Cambria"/>
          <w:sz w:val="20"/>
        </w:rPr>
        <w:t>Map assessment criteria to clauses 4–10 and relevant internal CMS requirements.</w:t>
      </w:r>
    </w:p>
    <w:p>
      <w:pPr>
        <w:pStyle w:val="ListBullet"/>
        <w:spacing w:before="0" w:after="50" w:line="252" w:lineRule="auto"/>
      </w:pPr>
      <w:r>
        <w:rPr>
          <w:rFonts w:ascii="Cambria" w:hAnsi="Cambria" w:eastAsia="Cambria"/>
          <w:sz w:val="20"/>
        </w:rPr>
        <w:t>Identify evidence sources: governance records, obligations register, risk assessments, policies, training, case-management records, third-party files, monitoring, audits and management review.</w:t>
      </w:r>
    </w:p>
    <w:p>
      <w:pPr>
        <w:pStyle w:val="ListBullet"/>
        <w:spacing w:before="0" w:after="50" w:line="252" w:lineRule="auto"/>
      </w:pPr>
      <w:r>
        <w:rPr>
          <w:rFonts w:ascii="Cambria" w:hAnsi="Cambria" w:eastAsia="Cambria"/>
          <w:sz w:val="20"/>
        </w:rPr>
        <w:t>Select interviewees and samples using compliance risk and materiality.</w:t>
      </w:r>
    </w:p>
    <w:p>
      <w:pPr>
        <w:pStyle w:val="ListBullet"/>
        <w:spacing w:before="0" w:after="50" w:line="252" w:lineRule="auto"/>
      </w:pPr>
      <w:r>
        <w:rPr>
          <w:rFonts w:ascii="Cambria" w:hAnsi="Cambria" w:eastAsia="Cambria"/>
          <w:sz w:val="20"/>
        </w:rPr>
        <w:t>Agree rating definitions before fieldwork so assessors apply them consistently.</w:t>
      </w:r>
    </w:p>
    <w:p>
      <w:pPr>
        <w:pStyle w:val="Heading1"/>
        <w:keepNext/>
        <w:spacing w:before="120" w:after="60" w:line="252" w:lineRule="auto"/>
      </w:pPr>
      <w:r>
        <w:rPr>
          <w:rFonts w:ascii="Cambria" w:hAnsi="Cambria" w:eastAsia="Cambria"/>
          <w:b/>
          <w:color w:val="1F4E79"/>
          <w:sz w:val="24"/>
        </w:rPr>
        <w:t>5. Evidence-Based Assessment Method</w:t>
      </w:r>
    </w:p>
    <w:p>
      <w:pPr>
        <w:spacing w:before="0" w:after="80" w:line="252" w:lineRule="auto"/>
      </w:pPr>
      <w:r>
        <w:rPr>
          <w:rFonts w:ascii="Cambria" w:hAnsi="Cambria" w:eastAsia="Cambria"/>
          <w:i w:val="0"/>
          <w:sz w:val="20"/>
        </w:rPr>
        <w:t>For each criterion, establish what the organization says should happen, what objective evidence shows actually happens, and whether the result is sufficient for the applicable CMS requirement and internal control expectation.</w:t>
      </w:r>
    </w:p>
    <w:tbl>
      <w:tblPr>
        <w:tblW w:type="auto" w:w="0"/>
        <w:jc w:val="center"/>
        <w:tblLayout w:type="fixed"/>
        <w:tblLook w:val="04A0"/>
      </w:tblPr>
      <w:tblGrid>
        <w:gridCol w:w="3118"/>
        <w:gridCol w:w="3118"/>
        <w:gridCol w:w="3118"/>
      </w:tblGrid>
      <w:tr>
        <w:trPr>
          <w:tblHeader w:val="true"/>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Step</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Assessment Activity</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Output</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1</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the criterion and identify the expected management-system outcome.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Assessment focus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2</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Collect objective evidence and select risk-based samples.</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set</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3</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Interview responsible roles to confirm process understanding and operating practice.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Corroboration / contradiction</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4</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Compare evidence with the criterion and identify the demonstrated gap, if any.</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Current-state rating and gap statement</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5</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Determine practical priority using compliance risk, consequence, control weakness and dependency.</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Priority</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6</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Agree an action that changes the process/control outcome and define verification evidence.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Action plan</w:t>
            </w:r>
          </w:p>
        </w:tc>
      </w:tr>
    </w:tbl>
    <w:p>
      <w:pPr>
        <w:pStyle w:val="Heading1"/>
        <w:keepNext/>
        <w:spacing w:before="120" w:after="60" w:line="252" w:lineRule="auto"/>
      </w:pPr>
      <w:r>
        <w:rPr>
          <w:rFonts w:ascii="Cambria" w:hAnsi="Cambria" w:eastAsia="Cambria"/>
          <w:b/>
          <w:color w:val="1F4E79"/>
          <w:sz w:val="24"/>
        </w:rPr>
        <w:t>6. Rating Guidance</w:t>
      </w:r>
    </w:p>
    <w:tbl>
      <w:tblPr>
        <w:tblW w:type="auto" w:w="0"/>
        <w:jc w:val="center"/>
        <w:tblLayout w:type="fixed"/>
        <w:tblLook w:val="04A0"/>
      </w:tblPr>
      <w:tblGrid>
        <w:gridCol w:w="4677"/>
        <w:gridCol w:w="4677"/>
      </w:tblGrid>
      <w:tr>
        <w:trPr>
          <w:tblHeader w:val="true"/>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Rating</w:t>
            </w:r>
          </w:p>
        </w:tc>
        <w:tc>
          <w:tcPr>
            <w:tcW w:type="dxa" w:w="714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Use When</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Conforming</w:t>
            </w:r>
          </w:p>
        </w:tc>
        <w:tc>
          <w:tcPr>
            <w:tcW w:type="dxa" w:w="714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Evidence demonstrates the criterion is implemented and operating at the assessed scope/sample.</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Partially Conforming</w:t>
            </w:r>
          </w:p>
        </w:tc>
        <w:tc>
          <w:tcPr>
            <w:tcW w:type="dxa" w:w="714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The process exists but implementation, coverage, consistency, evidence or effectiveness is incomplete.</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Nonconforming</w:t>
            </w:r>
          </w:p>
        </w:tc>
        <w:tc>
          <w:tcPr>
            <w:tcW w:type="dxa" w:w="714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Required CMS arrangement is absent or the available evidence demonstrates a material failure against the criterion.</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Not Assessed</w:t>
            </w:r>
          </w:p>
        </w:tc>
        <w:tc>
          <w:tcPr>
            <w:tcW w:type="dxa" w:w="714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Insufficient fieldwork or evidence has been completed to reach a conclusion.</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N/A</w:t>
            </w:r>
          </w:p>
        </w:tc>
        <w:tc>
          <w:tcPr>
            <w:tcW w:type="dxa" w:w="714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The criterion is demonstrably outside the approved scope or not applicable; rationale should be retained.</w:t>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Do not convert “evidence not yet provided” automatically into “nonconforming.” Distinguish an evidence-access delay from evidence demonstrating that a required control or process is absent or ineffective.</w:t>
            </w:r>
          </w:p>
        </w:tc>
      </w:tr>
    </w:tbl>
    <w:p>
      <w:pPr>
        <w:spacing w:after="20"/>
      </w:pPr>
    </w:p>
    <w:p>
      <w:pPr>
        <w:pStyle w:val="Heading1"/>
        <w:keepNext/>
        <w:spacing w:before="120" w:after="60" w:line="252" w:lineRule="auto"/>
      </w:pPr>
      <w:r>
        <w:rPr>
          <w:rFonts w:ascii="Cambria" w:hAnsi="Cambria" w:eastAsia="Cambria"/>
          <w:b/>
          <w:color w:val="1F4E79"/>
          <w:sz w:val="24"/>
        </w:rPr>
        <w:t>7. Priority and Action Planning</w:t>
      </w:r>
    </w:p>
    <w:p>
      <w:pPr>
        <w:pStyle w:val="ListBullet"/>
        <w:spacing w:before="0" w:after="50" w:line="252" w:lineRule="auto"/>
      </w:pPr>
      <w:r>
        <w:rPr>
          <w:rFonts w:ascii="Cambria" w:hAnsi="Cambria" w:eastAsia="Cambria"/>
          <w:sz w:val="20"/>
        </w:rPr>
        <w:t>High: potential material compliance exposure, serious control failure, governance weakness, repeated issue, or urgent dependency.</w:t>
      </w:r>
    </w:p>
    <w:p>
      <w:pPr>
        <w:pStyle w:val="ListBullet"/>
        <w:spacing w:before="0" w:after="50" w:line="252" w:lineRule="auto"/>
      </w:pPr>
      <w:r>
        <w:rPr>
          <w:rFonts w:ascii="Cambria" w:hAnsi="Cambria" w:eastAsia="Cambria"/>
          <w:sz w:val="20"/>
        </w:rPr>
        <w:t>Medium: meaningful CMS weakness requiring scheduled correction but without the same immediacy or exposure.</w:t>
      </w:r>
    </w:p>
    <w:p>
      <w:pPr>
        <w:pStyle w:val="ListBullet"/>
        <w:spacing w:before="0" w:after="50" w:line="252" w:lineRule="auto"/>
      </w:pPr>
      <w:r>
        <w:rPr>
          <w:rFonts w:ascii="Cambria" w:hAnsi="Cambria" w:eastAsia="Cambria"/>
          <w:sz w:val="20"/>
        </w:rPr>
        <w:t>Low: localized improvement or documentation/control refinement with limited current compliance exposure.</w:t>
      </w:r>
    </w:p>
    <w:p>
      <w:pPr>
        <w:spacing w:before="0" w:after="80" w:line="252" w:lineRule="auto"/>
      </w:pPr>
      <w:r>
        <w:rPr>
          <w:rFonts w:ascii="Cambria" w:hAnsi="Cambria" w:eastAsia="Cambria"/>
          <w:i w:val="0"/>
          <w:sz w:val="20"/>
        </w:rPr>
        <w:t>Each action should state the required outcome, accountable owner, due date, implementation evidence and any effectiveness check. Link actions back to Gap IDs so closure can be traced.</w:t>
      </w:r>
    </w:p>
    <w:p>
      <w:pPr>
        <w:pStyle w:val="Heading1"/>
        <w:keepNext/>
        <w:spacing w:before="120" w:after="60" w:line="252" w:lineRule="auto"/>
      </w:pPr>
      <w:r>
        <w:rPr>
          <w:rFonts w:ascii="Cambria" w:hAnsi="Cambria" w:eastAsia="Cambria"/>
          <w:b/>
          <w:color w:val="1F4E79"/>
          <w:sz w:val="24"/>
        </w:rPr>
        <w:t>8. Reporting and Management Review</w:t>
      </w:r>
    </w:p>
    <w:p>
      <w:pPr>
        <w:pStyle w:val="ListBullet"/>
        <w:spacing w:before="0" w:after="50" w:line="252" w:lineRule="auto"/>
      </w:pPr>
      <w:r>
        <w:rPr>
          <w:rFonts w:ascii="Cambria" w:hAnsi="Cambria" w:eastAsia="Cambria"/>
          <w:sz w:val="20"/>
        </w:rPr>
        <w:t>Summarize material themes rather than only counting gaps.</w:t>
      </w:r>
    </w:p>
    <w:p>
      <w:pPr>
        <w:pStyle w:val="ListBullet"/>
        <w:spacing w:before="0" w:after="50" w:line="252" w:lineRule="auto"/>
      </w:pPr>
      <w:r>
        <w:rPr>
          <w:rFonts w:ascii="Cambria" w:hAnsi="Cambria" w:eastAsia="Cambria"/>
          <w:sz w:val="20"/>
        </w:rPr>
        <w:t>Highlight systemic issues affecting multiple obligations or business processes.</w:t>
      </w:r>
    </w:p>
    <w:p>
      <w:pPr>
        <w:pStyle w:val="ListBullet"/>
        <w:spacing w:before="0" w:after="50" w:line="252" w:lineRule="auto"/>
      </w:pPr>
      <w:r>
        <w:rPr>
          <w:rFonts w:ascii="Cambria" w:hAnsi="Cambria" w:eastAsia="Cambria"/>
          <w:sz w:val="20"/>
        </w:rPr>
        <w:t>Separate implementation gaps from confirmed legal noncompliance unless the latter has been validated through the organization’s approved legal/compliance process.</w:t>
      </w:r>
    </w:p>
    <w:p>
      <w:pPr>
        <w:pStyle w:val="ListBullet"/>
        <w:spacing w:before="0" w:after="50" w:line="252" w:lineRule="auto"/>
      </w:pPr>
      <w:r>
        <w:rPr>
          <w:rFonts w:ascii="Cambria" w:hAnsi="Cambria" w:eastAsia="Cambria"/>
          <w:sz w:val="20"/>
        </w:rPr>
        <w:t>Escalate high-risk actions, resource constraints and overdue decisions to the appropriate management/governance level.</w:t>
      </w:r>
    </w:p>
    <w:p>
      <w:pPr>
        <w:pStyle w:val="Heading1"/>
        <w:keepNext/>
        <w:spacing w:before="120" w:after="60" w:line="252" w:lineRule="auto"/>
      </w:pPr>
      <w:r>
        <w:rPr>
          <w:rFonts w:ascii="Cambria" w:hAnsi="Cambria" w:eastAsia="Cambria"/>
          <w:b/>
          <w:color w:val="1F4E79"/>
          <w:sz w:val="24"/>
        </w:rPr>
        <w:t>9. Common Failure Modes</w:t>
      </w:r>
    </w:p>
    <w:p>
      <w:pPr>
        <w:pStyle w:val="ListBullet"/>
        <w:spacing w:before="0" w:after="50" w:line="252" w:lineRule="auto"/>
      </w:pPr>
      <w:r>
        <w:rPr>
          <w:rFonts w:ascii="Cambria" w:hAnsi="Cambria" w:eastAsia="Cambria"/>
          <w:sz w:val="20"/>
        </w:rPr>
        <w:t>Treating document existence as proof of operating effectiveness.</w:t>
      </w:r>
    </w:p>
    <w:p>
      <w:pPr>
        <w:pStyle w:val="ListBullet"/>
        <w:spacing w:before="0" w:after="50" w:line="252" w:lineRule="auto"/>
      </w:pPr>
      <w:r>
        <w:rPr>
          <w:rFonts w:ascii="Cambria" w:hAnsi="Cambria" w:eastAsia="Cambria"/>
          <w:sz w:val="20"/>
        </w:rPr>
        <w:t>Using generic ISO language instead of concrete evidence and gap statements.</w:t>
      </w:r>
    </w:p>
    <w:p>
      <w:pPr>
        <w:pStyle w:val="ListBullet"/>
        <w:spacing w:before="0" w:after="50" w:line="252" w:lineRule="auto"/>
      </w:pPr>
      <w:r>
        <w:rPr>
          <w:rFonts w:ascii="Cambria" w:hAnsi="Cambria" w:eastAsia="Cambria"/>
          <w:sz w:val="20"/>
        </w:rPr>
        <w:t>Creating actions that only say “update procedure” without defining the control outcome.</w:t>
      </w:r>
    </w:p>
    <w:p>
      <w:pPr>
        <w:pStyle w:val="ListBullet"/>
        <w:spacing w:before="0" w:after="50" w:line="252" w:lineRule="auto"/>
      </w:pPr>
      <w:r>
        <w:rPr>
          <w:rFonts w:ascii="Cambria" w:hAnsi="Cambria" w:eastAsia="Cambria"/>
          <w:sz w:val="20"/>
        </w:rPr>
        <w:t>Inventing legal requirements or regulator conclusions without authoritative verification.</w:t>
      </w:r>
    </w:p>
    <w:p>
      <w:pPr>
        <w:pStyle w:val="ListBullet"/>
        <w:spacing w:before="0" w:after="50" w:line="252" w:lineRule="auto"/>
      </w:pPr>
      <w:r>
        <w:rPr>
          <w:rFonts w:ascii="Cambria" w:hAnsi="Cambria" w:eastAsia="Cambria"/>
          <w:sz w:val="20"/>
        </w:rPr>
        <w:t>Closing actions without implementation evidence or effectiveness verification.</w:t>
      </w:r>
    </w:p>
    <w:p>
      <w:pPr>
        <w:pStyle w:val="Heading1"/>
        <w:keepNext/>
        <w:spacing w:before="120" w:after="60" w:line="252" w:lineRule="auto"/>
      </w:pPr>
      <w:r>
        <w:rPr>
          <w:rFonts w:ascii="Cambria" w:hAnsi="Cambria" w:eastAsia="Cambria"/>
          <w:b/>
          <w:color w:val="1F4E79"/>
          <w:sz w:val="24"/>
        </w:rPr>
        <w:t>10. Records and References</w:t>
      </w:r>
    </w:p>
    <w:tbl>
      <w:tblPr>
        <w:tblW w:type="auto" w:w="0"/>
        <w:jc w:val="center"/>
        <w:tblLayout w:type="fixed"/>
        <w:tblLook w:val="04A0"/>
      </w:tblPr>
      <w:tblGrid>
        <w:gridCol w:w="4677"/>
        <w:gridCol w:w="4677"/>
      </w:tblGrid>
      <w:tr>
        <w:trPr>
          <w:tblHeader w:val="true"/>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Record / Reference</w:t>
            </w:r>
          </w:p>
        </w:tc>
        <w:tc>
          <w:tcPr>
            <w:tcW w:type="dxa" w:w="60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Purpose</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Compliance Gap Analysis.xlsx</w:t>
            </w:r>
          </w:p>
        </w:tc>
        <w:tc>
          <w:tcPr>
            <w:tcW w:type="dxa" w:w="60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Main assessment criteria and evidence record.</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Compliance Gap Analysis Action Plan.docx</w:t>
            </w:r>
          </w:p>
        </w:tc>
        <w:tc>
          <w:tcPr>
            <w:tcW w:type="dxa" w:w="60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Accountable remediation and verification tracker.</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ISO 37301:2021</w:t>
            </w:r>
          </w:p>
        </w:tc>
        <w:tc>
          <w:tcPr>
            <w:tcW w:type="dxa" w:w="60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Compliance management systems — requirements with guidance for use.</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ISO 37301:2021/Amd 1:2024</w:t>
            </w:r>
          </w:p>
        </w:tc>
        <w:tc>
          <w:tcPr>
            <w:tcW w:type="dxa" w:w="60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Climate action changes applicable to ISO 37301:2021.</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Compliance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Compliance Gap Analysis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CMS-GOV-001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