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AUDIT GUIDANCE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Head of Internal Audit / Compliance Assurance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 / Audit Committee</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planning, conducting, reporting and following up compliance management system audits so conclusions are evidence-based, risk-focused and useful for governance decisions.</w:t>
      </w:r>
    </w:p>
    <w:p>
      <w:pPr>
        <w:pStyle w:val="Heading1"/>
        <w:keepNext/>
        <w:spacing w:before="120" w:after="60" w:line="252" w:lineRule="auto"/>
      </w:pPr>
      <w:r>
        <w:rPr>
          <w:rFonts w:ascii="Cambria" w:hAnsi="Cambria" w:eastAsia="Cambria"/>
          <w:b/>
          <w:color w:val="1F4E79"/>
          <w:sz w:val="24"/>
        </w:rPr>
        <w:t>2. Scope and Intended Users</w:t>
      </w:r>
    </w:p>
    <w:p>
      <w:pPr>
        <w:spacing w:before="0" w:after="80" w:line="252" w:lineRule="auto"/>
      </w:pPr>
      <w:r>
        <w:rPr>
          <w:rFonts w:ascii="Cambria" w:hAnsi="Cambria" w:eastAsia="Cambria"/>
          <w:i w:val="0"/>
          <w:sz w:val="20"/>
        </w:rPr>
        <w:t>Applies to internal CMS audits and, where adapted, compliance assurance reviews of functions, sites, processes, third parties or suppliers. Intended users include audit programme managers, lead auditors, compliance assurance personnel and subject-matter specialists.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compliance audit is not a substitute for legal advice, a formal investigation or a regulator determination. Verify jurisdiction-specific obligations from authoritative sources and involve competent legal/compliance expertise where needed.</w:t>
            </w:r>
          </w:p>
        </w:tc>
      </w:tr>
    </w:tbl>
    <w:p>
      <w:pPr>
        <w:spacing w:after="20"/>
      </w:pPr>
    </w:p>
    <w:p>
      <w:pPr>
        <w:pStyle w:val="Heading1"/>
        <w:keepNext/>
        <w:spacing w:before="120" w:after="60" w:line="252" w:lineRule="auto"/>
      </w:pPr>
      <w:r>
        <w:rPr>
          <w:rFonts w:ascii="Cambria" w:hAnsi="Cambria" w:eastAsia="Cambria"/>
          <w:b/>
          <w:color w:val="1F4E79"/>
          <w:sz w:val="24"/>
        </w:rPr>
        <w:t>3. Audit Principles</w:t>
      </w:r>
    </w:p>
    <w:p>
      <w:pPr>
        <w:pStyle w:val="ListBullet"/>
        <w:spacing w:before="0" w:after="50" w:line="252" w:lineRule="auto"/>
      </w:pPr>
      <w:r>
        <w:rPr>
          <w:rFonts w:ascii="Cambria" w:hAnsi="Cambria" w:eastAsia="Cambria"/>
          <w:sz w:val="20"/>
        </w:rPr>
        <w:t>Risk-based focus: direct audit effort to material compliance obligations, higher-risk processes, significant changes, prior concerns and weak controls.</w:t>
      </w:r>
    </w:p>
    <w:p>
      <w:pPr>
        <w:pStyle w:val="ListBullet"/>
        <w:spacing w:before="0" w:after="50" w:line="252" w:lineRule="auto"/>
      </w:pPr>
      <w:r>
        <w:rPr>
          <w:rFonts w:ascii="Cambria" w:hAnsi="Cambria" w:eastAsia="Cambria"/>
          <w:sz w:val="20"/>
        </w:rPr>
        <w:t>Objectivity and independence: avoid auditing work for which the auditor has direct operational responsibility unless safeguards preserve objectivity.</w:t>
      </w:r>
    </w:p>
    <w:p>
      <w:pPr>
        <w:pStyle w:val="ListBullet"/>
        <w:spacing w:before="0" w:after="50" w:line="252" w:lineRule="auto"/>
      </w:pPr>
      <w:r>
        <w:rPr>
          <w:rFonts w:ascii="Cambria" w:hAnsi="Cambria" w:eastAsia="Cambria"/>
          <w:sz w:val="20"/>
        </w:rPr>
        <w:t>Evidence-based conclusions: triangulate documents, records, interviews, data and observation rather than relying on statements alone.</w:t>
      </w:r>
    </w:p>
    <w:p>
      <w:pPr>
        <w:pStyle w:val="ListBullet"/>
        <w:spacing w:before="0" w:after="50" w:line="252" w:lineRule="auto"/>
      </w:pPr>
      <w:r>
        <w:rPr>
          <w:rFonts w:ascii="Cambria" w:hAnsi="Cambria" w:eastAsia="Cambria"/>
          <w:sz w:val="20"/>
        </w:rPr>
        <w:t>Confidentiality and need-to-know: protect sensitive reports, personal information, investigation material and privileged content.</w:t>
      </w:r>
    </w:p>
    <w:p>
      <w:pPr>
        <w:pStyle w:val="ListBullet"/>
        <w:spacing w:before="0" w:after="50" w:line="252" w:lineRule="auto"/>
      </w:pPr>
      <w:r>
        <w:rPr>
          <w:rFonts w:ascii="Cambria" w:hAnsi="Cambria" w:eastAsia="Cambria"/>
          <w:sz w:val="20"/>
        </w:rPr>
        <w:t>Fair reporting: distinguish verified facts, professional judgement, opportunities for improvement and unresolved matters.</w:t>
      </w:r>
    </w:p>
    <w:p>
      <w:pPr>
        <w:pStyle w:val="ListBullet"/>
        <w:spacing w:before="0" w:after="50" w:line="252" w:lineRule="auto"/>
      </w:pPr>
      <w:r>
        <w:rPr>
          <w:rFonts w:ascii="Cambria" w:hAnsi="Cambria" w:eastAsia="Cambria"/>
          <w:sz w:val="20"/>
        </w:rPr>
        <w:t>Improvement orientation: findings should support correction, root-cause analysis, control strengthening and management oversight.</w:t>
      </w:r>
    </w:p>
    <w:p>
      <w:pPr>
        <w:pStyle w:val="Heading1"/>
        <w:keepNext/>
        <w:spacing w:before="120" w:after="60" w:line="252" w:lineRule="auto"/>
      </w:pPr>
      <w:r>
        <w:rPr>
          <w:rFonts w:ascii="Cambria" w:hAnsi="Cambria" w:eastAsia="Cambria"/>
          <w:b/>
          <w:color w:val="1F4E79"/>
          <w:sz w:val="24"/>
        </w:rPr>
        <w:t>4. Risk-Based Audit Planning</w:t>
      </w:r>
    </w:p>
    <w:p>
      <w:pPr>
        <w:spacing w:before="0" w:after="80" w:line="252" w:lineRule="auto"/>
      </w:pPr>
      <w:r>
        <w:rPr>
          <w:rFonts w:ascii="Cambria" w:hAnsi="Cambria" w:eastAsia="Cambria"/>
          <w:i w:val="0"/>
          <w:sz w:val="20"/>
        </w:rPr>
        <w:t>Build the audit programme from the CMS risk profile and assurance universe. Consider the following inputs when selecting scope, frequency and sampling depth:</w:t>
      </w:r>
    </w:p>
    <w:p>
      <w:pPr>
        <w:pStyle w:val="ListBullet"/>
        <w:spacing w:before="0" w:after="50" w:line="252" w:lineRule="auto"/>
      </w:pPr>
      <w:r>
        <w:rPr>
          <w:rFonts w:ascii="Cambria" w:hAnsi="Cambria" w:eastAsia="Cambria"/>
          <w:sz w:val="20"/>
        </w:rPr>
        <w:t>compliance risk assessment and changes in risk exposure;</w:t>
      </w:r>
    </w:p>
    <w:p>
      <w:pPr>
        <w:pStyle w:val="ListBullet"/>
        <w:spacing w:before="0" w:after="50" w:line="252" w:lineRule="auto"/>
      </w:pPr>
      <w:r>
        <w:rPr>
          <w:rFonts w:ascii="Cambria" w:hAnsi="Cambria" w:eastAsia="Cambria"/>
          <w:sz w:val="20"/>
        </w:rPr>
        <w:t>material compliance obligations and known control dependencies;</w:t>
      </w:r>
    </w:p>
    <w:p>
      <w:pPr>
        <w:pStyle w:val="ListBullet"/>
        <w:spacing w:before="0" w:after="50" w:line="252" w:lineRule="auto"/>
      </w:pPr>
      <w:r>
        <w:rPr>
          <w:rFonts w:ascii="Cambria" w:hAnsi="Cambria" w:eastAsia="Cambria"/>
          <w:sz w:val="20"/>
        </w:rPr>
        <w:t>speak-up trends, substantiated cases and lessons learned without compromising confidentiality;</w:t>
      </w:r>
    </w:p>
    <w:p>
      <w:pPr>
        <w:pStyle w:val="ListBullet"/>
        <w:spacing w:before="0" w:after="50" w:line="252" w:lineRule="auto"/>
      </w:pPr>
      <w:r>
        <w:rPr>
          <w:rFonts w:ascii="Cambria" w:hAnsi="Cambria" w:eastAsia="Cambria"/>
          <w:sz w:val="20"/>
        </w:rPr>
        <w:t>prior audit, monitoring and compliance-evaluation results;</w:t>
      </w:r>
    </w:p>
    <w:p>
      <w:pPr>
        <w:pStyle w:val="ListBullet"/>
        <w:spacing w:before="0" w:after="50" w:line="252" w:lineRule="auto"/>
      </w:pPr>
      <w:r>
        <w:rPr>
          <w:rFonts w:ascii="Cambria" w:hAnsi="Cambria" w:eastAsia="Cambria"/>
          <w:sz w:val="20"/>
        </w:rPr>
        <w:t>new markets, products, systems, acquisitions, restructurings and third-party relationships;</w:t>
      </w:r>
    </w:p>
    <w:p>
      <w:pPr>
        <w:pStyle w:val="ListBullet"/>
        <w:spacing w:before="0" w:after="50" w:line="252" w:lineRule="auto"/>
      </w:pPr>
      <w:r>
        <w:rPr>
          <w:rFonts w:ascii="Cambria" w:hAnsi="Cambria" w:eastAsia="Cambria"/>
          <w:sz w:val="20"/>
        </w:rPr>
        <w:t>management-review actions, overdue corrective actions and emerging stakeholder expectations;</w:t>
      </w:r>
    </w:p>
    <w:p>
      <w:pPr>
        <w:pStyle w:val="ListBullet"/>
        <w:spacing w:before="0" w:after="50" w:line="252" w:lineRule="auto"/>
      </w:pPr>
      <w:r>
        <w:rPr>
          <w:rFonts w:ascii="Cambria" w:hAnsi="Cambria" w:eastAsia="Cambria"/>
          <w:sz w:val="20"/>
        </w:rPr>
        <w:t>relevance of climate-related context or interested-party requirements where applicable.</w:t>
      </w:r>
    </w:p>
    <w:p>
      <w:pPr>
        <w:pStyle w:val="Heading1"/>
        <w:keepNext/>
        <w:spacing w:before="120" w:after="60" w:line="252" w:lineRule="auto"/>
      </w:pPr>
      <w:r>
        <w:rPr>
          <w:rFonts w:ascii="Cambria" w:hAnsi="Cambria" w:eastAsia="Cambria"/>
          <w:b/>
          <w:color w:val="1F4E79"/>
          <w:sz w:val="24"/>
        </w:rPr>
        <w:t>5. Define Objective, Scope and Criteria</w:t>
      </w:r>
    </w:p>
    <w:tbl>
      <w:tblPr>
        <w:tblW w:type="auto" w:w="0"/>
        <w:jc w:val="center"/>
        <w:tblLayout w:type="fixed"/>
        <w:tblLook w:val="04A0"/>
      </w:tblPr>
      <w:tblGrid>
        <w:gridCol w:w="4677"/>
        <w:gridCol w:w="4677"/>
      </w:tblGrid>
      <w:tr>
        <w:trPr>
          <w:tblHeader w:val="true"/>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Element</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Practical expectation</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Objective</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State what assurance question the audit will answer, e.g., whether selected high-risk compliance controls are designed and operating as intended.</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Scope</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Define entities, sites, functions, processes, period, systems and exclusions.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Criteria</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Use applicable CMS requirements, approved internal controls, contracts and verified compliance obligations.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Sampling</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Set a defensible sample based on risk, population, changes, exceptions and data quality.</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Team</w:t>
            </w:r>
          </w:p>
        </w:tc>
        <w:tc>
          <w:tcPr>
            <w:tcW w:type="dxa" w:w="742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Assign competent auditors and specialists; identify conflicts and confidentiality needs before fieldwork.</w:t>
            </w:r>
          </w:p>
        </w:tc>
      </w:tr>
    </w:tbl>
    <w:p>
      <w:pPr>
        <w:pStyle w:val="Heading1"/>
        <w:keepNext/>
        <w:spacing w:before="120" w:after="60" w:line="252" w:lineRule="auto"/>
      </w:pPr>
      <w:r>
        <w:rPr>
          <w:rFonts w:ascii="Cambria" w:hAnsi="Cambria" w:eastAsia="Cambria"/>
          <w:b/>
          <w:color w:val="1F4E79"/>
          <w:sz w:val="24"/>
        </w:rPr>
        <w:t>6. Fieldwork and Evidence Collection</w:t>
      </w:r>
    </w:p>
    <w:tbl>
      <w:tblPr>
        <w:tblW w:type="auto" w:w="0"/>
        <w:jc w:val="center"/>
        <w:tblLayout w:type="fixed"/>
        <w:tblLook w:val="04A0"/>
      </w:tblPr>
      <w:tblGrid>
        <w:gridCol w:w="3118"/>
        <w:gridCol w:w="3118"/>
        <w:gridCol w:w="3118"/>
      </w:tblGrid>
      <w:tr>
        <w:trPr>
          <w:tblHeader w:val="true"/>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Step</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Activity</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Guidance</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1</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Opening and confirmation</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objective, scope, criteria, timing, contacts, evidence access and escalation protocol.</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2</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walkthrough</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Understand how obligations, risks, controls, approvals, reporting and records flow through the process.</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3</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sampling</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Select representative and risk-based samples; retain traceable references to records tested.</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4</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Interviews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Ask open questions, corroborate key statements and avoid leading or accusatory language.</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5</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 testing</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Test both control design and operating evidence where the audit objective requires effectiveness assurance.</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6</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Exception analysis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Separate isolated exceptions from recurring/systemic weaknesses using population context and root-cause indicators.</w:t>
            </w:r>
          </w:p>
        </w:tc>
      </w:tr>
      <w:tr>
        <w:trPr>
          <w:cantSplit/>
        </w:trPr>
        <w:tc>
          <w:tcPr>
            <w:tcW w:type="dxa" w:w="73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7</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Daily/periodic alignment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Validate factual understanding with process owners without negotiating the audit conclusion.</w:t>
            </w:r>
          </w:p>
        </w:tc>
      </w:tr>
    </w:tbl>
    <w:p>
      <w:pPr>
        <w:pStyle w:val="Heading1"/>
        <w:keepNext/>
        <w:spacing w:before="120" w:after="60" w:line="252" w:lineRule="auto"/>
      </w:pPr>
      <w:r>
        <w:rPr>
          <w:rFonts w:ascii="Cambria" w:hAnsi="Cambria" w:eastAsia="Cambria"/>
          <w:b/>
          <w:color w:val="1F4E79"/>
          <w:sz w:val="24"/>
        </w:rPr>
        <w:t>7. Finding Classification and Writing</w:t>
      </w:r>
    </w:p>
    <w:p>
      <w:pPr>
        <w:spacing w:before="0" w:after="80" w:line="252" w:lineRule="auto"/>
      </w:pPr>
      <w:r>
        <w:rPr>
          <w:rFonts w:ascii="Cambria" w:hAnsi="Cambria" w:eastAsia="Cambria"/>
          <w:i w:val="0"/>
          <w:sz w:val="20"/>
        </w:rPr>
        <w:t>Use the organization’s approved finding taxonomy. A clear finding normally contains the criterion, objective evidence, demonstrated gap, risk/consequence and required follow-up. Avoid unsupported assertions about motive, intent, criminality or legal liability.</w:t>
      </w:r>
    </w:p>
    <w:tbl>
      <w:tblPr>
        <w:tblW w:type="auto" w:w="0"/>
        <w:jc w:val="center"/>
        <w:tblLayout w:type="fixed"/>
        <w:tblLook w:val="04A0"/>
      </w:tblPr>
      <w:tblGrid>
        <w:gridCol w:w="2339"/>
        <w:gridCol w:w="2339"/>
        <w:gridCol w:w="2339"/>
        <w:gridCol w:w="2339"/>
      </w:tblGrid>
      <w:tr>
        <w:trPr>
          <w:tblHeader w:val="true"/>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Illustrative Data</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Situation</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Result</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Why</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EX-AUD-01</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Sampled obligation register has defined source and owner; update evidence is current.</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Conforming</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Evidence supports the expected control.</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EX-AUD-02</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Higher-risk third-party refresh triggers are used but not consistently documented.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OFI</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 operates, but standardization would improve reliability.</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EX-AUD-03</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Several obligation families lack assigned source-update ownership.</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Minor NC</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 defined CMS control is not consistently implemented.</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EX-AUD-04</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Multiple compliance conclusions are recorded without objective evidence or defined evaluation method.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Major NC</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The weakness is broad enough to undermine assurance over compliance evaluation.</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EX-AUD-05</w:t>
            </w:r>
          </w:p>
        </w:tc>
        <w:tc>
          <w:tcPr>
            <w:tcW w:type="dxa" w:w="408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One training record is unavailable; broader sample and system evidence remain effective.</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Further evidence / judgement</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 not over-classify before assessing population context and control effect.</w:t>
            </w:r>
          </w:p>
        </w:tc>
      </w:tr>
    </w:tbl>
    <w:p>
      <w:pPr>
        <w:spacing w:before="0" w:after="0" w:line="252" w:lineRule="auto"/>
      </w:pPr>
      <w:r>
        <w:rPr>
          <w:rFonts w:ascii="Cambria" w:hAnsi="Cambria" w:eastAsia="Cambria"/>
          <w:i w:val="0"/>
          <w:sz w:val="20"/>
        </w:rPr>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Examples only; not actual violations, investigations, sanctions or regulator conclusions.</w:t>
            </w:r>
          </w:p>
        </w:tc>
      </w:tr>
    </w:tbl>
    <w:p>
      <w:pPr>
        <w:spacing w:after="20"/>
      </w:pPr>
    </w:p>
    <w:p>
      <w:pPr>
        <w:pStyle w:val="Heading1"/>
        <w:keepNext/>
        <w:spacing w:before="120" w:after="60" w:line="252" w:lineRule="auto"/>
      </w:pPr>
      <w:r>
        <w:rPr>
          <w:rFonts w:ascii="Cambria" w:hAnsi="Cambria" w:eastAsia="Cambria"/>
          <w:b/>
          <w:color w:val="1F4E79"/>
          <w:sz w:val="24"/>
        </w:rPr>
        <w:t>8. Closing Meeting and Reporting</w:t>
      </w:r>
    </w:p>
    <w:p>
      <w:pPr>
        <w:pStyle w:val="ListBullet"/>
        <w:spacing w:before="0" w:after="50" w:line="252" w:lineRule="auto"/>
      </w:pPr>
      <w:r>
        <w:rPr>
          <w:rFonts w:ascii="Cambria" w:hAnsi="Cambria" w:eastAsia="Cambria"/>
          <w:sz w:val="20"/>
        </w:rPr>
        <w:t>present evidence and conclusions clearly;</w:t>
      </w:r>
    </w:p>
    <w:p>
      <w:pPr>
        <w:pStyle w:val="ListBullet"/>
        <w:spacing w:before="0" w:after="50" w:line="252" w:lineRule="auto"/>
      </w:pPr>
      <w:r>
        <w:rPr>
          <w:rFonts w:ascii="Cambria" w:hAnsi="Cambria" w:eastAsia="Cambria"/>
          <w:sz w:val="20"/>
        </w:rPr>
        <w:t>differentiate confirmed findings from matters requiring additional evidence;</w:t>
      </w:r>
    </w:p>
    <w:p>
      <w:pPr>
        <w:pStyle w:val="ListBullet"/>
        <w:spacing w:before="0" w:after="50" w:line="252" w:lineRule="auto"/>
      </w:pPr>
      <w:r>
        <w:rPr>
          <w:rFonts w:ascii="Cambria" w:hAnsi="Cambria" w:eastAsia="Cambria"/>
          <w:sz w:val="20"/>
        </w:rPr>
        <w:t>agree factual corrections, not outcome bargaining;</w:t>
      </w:r>
    </w:p>
    <w:p>
      <w:pPr>
        <w:pStyle w:val="ListBullet"/>
        <w:spacing w:before="0" w:after="50" w:line="252" w:lineRule="auto"/>
      </w:pPr>
      <w:r>
        <w:rPr>
          <w:rFonts w:ascii="Cambria" w:hAnsi="Cambria" w:eastAsia="Cambria"/>
          <w:sz w:val="20"/>
        </w:rPr>
        <w:t>identify immediate escalation where risk cannot wait for final report;</w:t>
      </w:r>
    </w:p>
    <w:p>
      <w:pPr>
        <w:pStyle w:val="ListBullet"/>
        <w:spacing w:before="0" w:after="50" w:line="252" w:lineRule="auto"/>
      </w:pPr>
      <w:r>
        <w:rPr>
          <w:rFonts w:ascii="Cambria" w:hAnsi="Cambria" w:eastAsia="Cambria"/>
          <w:sz w:val="20"/>
        </w:rPr>
        <w:t>issue a concise report with scope, criteria, sample limitations, findings, positive practices, actions and management response;</w:t>
      </w:r>
    </w:p>
    <w:p>
      <w:pPr>
        <w:pStyle w:val="ListBullet"/>
        <w:spacing w:before="0" w:after="50" w:line="252" w:lineRule="auto"/>
      </w:pPr>
      <w:r>
        <w:rPr>
          <w:rFonts w:ascii="Cambria" w:hAnsi="Cambria" w:eastAsia="Cambria"/>
          <w:sz w:val="20"/>
        </w:rPr>
        <w:t>restrict distribution where the report contains personal, investigation or legally sensitive information.</w:t>
      </w:r>
    </w:p>
    <w:p>
      <w:pPr>
        <w:pStyle w:val="Heading1"/>
        <w:keepNext/>
        <w:spacing w:before="120" w:after="60" w:line="252" w:lineRule="auto"/>
      </w:pPr>
      <w:r>
        <w:rPr>
          <w:rFonts w:ascii="Cambria" w:hAnsi="Cambria" w:eastAsia="Cambria"/>
          <w:b/>
          <w:color w:val="1F4E79"/>
          <w:sz w:val="24"/>
        </w:rPr>
        <w:t>9. Corrective Action and Follow-Up</w:t>
      </w:r>
    </w:p>
    <w:p>
      <w:pPr>
        <w:spacing w:before="0" w:after="80" w:line="252" w:lineRule="auto"/>
      </w:pPr>
      <w:r>
        <w:rPr>
          <w:rFonts w:ascii="Cambria" w:hAnsi="Cambria" w:eastAsia="Cambria"/>
          <w:i w:val="0"/>
          <w:sz w:val="20"/>
        </w:rPr>
        <w:t>Track corrective actions to accountable owners and due dates. For material findings, require evidence of correction, root-cause analysis, system-level action and effectiveness verification before closure. Re-open or escalate actions when evidence is insufficient or residual risk remains unacceptable.</w:t>
      </w:r>
    </w:p>
    <w:p>
      <w:pPr>
        <w:pStyle w:val="Heading1"/>
        <w:keepNext/>
        <w:spacing w:before="120" w:after="60" w:line="252" w:lineRule="auto"/>
      </w:pPr>
      <w:r>
        <w:rPr>
          <w:rFonts w:ascii="Cambria" w:hAnsi="Cambria" w:eastAsia="Cambria"/>
          <w:b/>
          <w:color w:val="1F4E79"/>
          <w:sz w:val="24"/>
        </w:rPr>
        <w:t>10. Auditor Competence and Quality Review</w:t>
      </w:r>
    </w:p>
    <w:p>
      <w:pPr>
        <w:spacing w:before="0" w:after="80" w:line="252" w:lineRule="auto"/>
      </w:pPr>
      <w:r>
        <w:rPr>
          <w:rFonts w:ascii="Cambria" w:hAnsi="Cambria" w:eastAsia="Cambria"/>
          <w:i w:val="0"/>
          <w:sz w:val="20"/>
        </w:rPr>
        <w:t>Maintain evidence of auditor competence in audit methods, CMS principles, applicable subject matter, interviewing, evidence evaluation, confidentiality and report writing. Apply independent review to significant findings and sensitive reports where appropriate.</w:t>
      </w:r>
    </w:p>
    <w:p>
      <w:pPr>
        <w:pStyle w:val="Heading1"/>
        <w:keepNext/>
        <w:spacing w:before="120" w:after="60" w:line="252" w:lineRule="auto"/>
      </w:pPr>
      <w:r>
        <w:rPr>
          <w:rFonts w:ascii="Cambria" w:hAnsi="Cambria" w:eastAsia="Cambria"/>
          <w:b/>
          <w:color w:val="1F4E79"/>
          <w:sz w:val="24"/>
        </w:rPr>
        <w:t>11. Records to Retain</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Record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Minimum purpose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Audit plan / terms of reference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Evidence of approved objective, scope, criteria, timing and team.</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Evidence index / working papers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Traceability of samples, tests, interviews and conclusions.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Findings and review notes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Basis for classification and quality review.</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Audit report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Formal assurance output.</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Corrective-action follow-up</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Evidence of closure and effectiveness verification.</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Source / Location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management systems — requirements with guidance for use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https://www.iso.org/standard/75080.html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37301:2021/Amd 1:2024</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Climate action changes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https://www.iso.org/standard/88422.html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CMS documented information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Applicable policies, registers, procedures, audit records and management-review records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Head of Internal Audit / Compliance Assurance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Audit Committee</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Audit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CMS-GOV-004</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