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DOCUMENTED INFORMATION GUIDANCE</w:t>
      </w:r>
    </w:p>
    <w:p>
      <w:pPr>
        <w:spacing w:after="120"/>
      </w:pPr>
      <w:r>
        <w:rPr>
          <w:rFonts w:ascii="Cambria" w:hAnsi="Cambria" w:eastAsia="Cambria"/>
          <w:b/>
          <w:sz w:val="23"/>
        </w:rPr>
        <w:t>ISO 22301:2019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Business Continuity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practical guidance for deciding what BCMS information should be documented, how much control is appropriate and how to keep important continuity information usable, current and accessible.</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The objective is not to maximize document volume. Keep enough controlled information to operate the BCMS, support disruption decisions, demonstrate evidence and preserve organizational knowledge.</w:t>
            </w:r>
          </w:p>
        </w:tc>
      </w:tr>
    </w:tbl>
    <w:p>
      <w:pPr>
        <w:spacing w:after="20"/>
      </w:pPr>
    </w:p>
    <w:p>
      <w:pPr>
        <w:pStyle w:val="Heading1"/>
        <w:keepNext/>
        <w:spacing w:before="120" w:after="60" w:line="252" w:lineRule="auto"/>
      </w:pPr>
      <w:r>
        <w:rPr>
          <w:rFonts w:ascii="Cambria" w:hAnsi="Cambria" w:eastAsia="Cambria"/>
          <w:b/>
          <w:color w:val="1F4E79"/>
          <w:sz w:val="24"/>
        </w:rPr>
        <w:t>2. Recommended BCMS Document Architecture</w:t>
      </w:r>
    </w:p>
    <w:tbl>
      <w:tblPr>
        <w:tblW w:type="auto" w:w="0"/>
        <w:jc w:val="center"/>
        <w:tblLayout w:type="fixed"/>
        <w:tblLook w:val="04A0"/>
      </w:tblPr>
      <w:tblGrid>
        <w:gridCol w:w="3118"/>
        <w:gridCol w:w="3118"/>
        <w:gridCol w:w="3118"/>
      </w:tblGrid>
      <w:tr>
        <w:trPr>
          <w:tblHeader w:val="true"/>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Layer</w:t>
            </w:r>
          </w:p>
        </w:tc>
        <w:tc>
          <w:tcPr>
            <w:tcW w:type="dxa" w:w="41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Typical Content</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 Focus</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Governance</w:t>
            </w:r>
          </w:p>
        </w:tc>
        <w:tc>
          <w:tcPr>
            <w:tcW w:type="dxa" w:w="41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Policy, BCMS scope, manual / framework, roles, objectives.</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Approval, ownership, scheduled review.</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Methods</w:t>
            </w:r>
          </w:p>
        </w:tc>
        <w:tc>
          <w:tcPr>
            <w:tcW w:type="dxa" w:w="41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BIA, risk assessment, exercise, audit and management-review procedures / methodologies.</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Consistency, criteria, competence.</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Operational continuity</w:t>
            </w:r>
          </w:p>
        </w:tc>
        <w:tc>
          <w:tcPr>
            <w:tcW w:type="dxa" w:w="41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Strategies, business continuity plans, contact / escalation information, recovery procedures.</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Usability, access during disruption, rapid update.</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 records</w:t>
            </w:r>
          </w:p>
        </w:tc>
        <w:tc>
          <w:tcPr>
            <w:tcW w:type="dxa" w:w="41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Completed BIAs, risk records, exercise results, training, audits, reviews, corrective actions.</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Integrity, traceability, retention, protection.</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External information</w:t>
            </w:r>
          </w:p>
        </w:tc>
        <w:tc>
          <w:tcPr>
            <w:tcW w:type="dxa" w:w="41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Supplier continuity evidence, contractual continuity requirements, external emergency / authority information where relevant.</w:t>
            </w:r>
          </w:p>
        </w:tc>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Source, currency, access, applicability.</w:t>
            </w:r>
          </w:p>
        </w:tc>
      </w:tr>
    </w:tbl>
    <w:p>
      <w:pPr>
        <w:pStyle w:val="Heading1"/>
        <w:keepNext/>
        <w:spacing w:before="120" w:after="60" w:line="252" w:lineRule="auto"/>
      </w:pPr>
      <w:r>
        <w:rPr>
          <w:rFonts w:ascii="Cambria" w:hAnsi="Cambria" w:eastAsia="Cambria"/>
          <w:b/>
          <w:color w:val="1F4E79"/>
          <w:sz w:val="24"/>
        </w:rPr>
        <w:t>3. What to Document</w:t>
      </w:r>
    </w:p>
    <w:p>
      <w:pPr>
        <w:pStyle w:val="ListBullet"/>
        <w:spacing w:before="0" w:after="50" w:line="252" w:lineRule="auto"/>
      </w:pPr>
      <w:r>
        <w:rPr>
          <w:rFonts w:ascii="Cambria" w:hAnsi="Cambria" w:eastAsia="Cambria"/>
          <w:sz w:val="20"/>
        </w:rPr>
        <w:t>Information needed to operate a BCMS process consistently or make a material continuity decision.</w:t>
      </w:r>
    </w:p>
    <w:p>
      <w:pPr>
        <w:pStyle w:val="ListBullet"/>
        <w:spacing w:before="0" w:after="50" w:line="252" w:lineRule="auto"/>
      </w:pPr>
      <w:r>
        <w:rPr>
          <w:rFonts w:ascii="Cambria" w:hAnsi="Cambria" w:eastAsia="Cambria"/>
          <w:sz w:val="20"/>
        </w:rPr>
        <w:t>Evidence needed to demonstrate a BIA, risk, strategy, plan, exercise, evaluation, audit, management-review or corrective-action outcome.</w:t>
      </w:r>
    </w:p>
    <w:p>
      <w:pPr>
        <w:pStyle w:val="ListBullet"/>
        <w:spacing w:before="0" w:after="50" w:line="252" w:lineRule="auto"/>
      </w:pPr>
      <w:r>
        <w:rPr>
          <w:rFonts w:ascii="Cambria" w:hAnsi="Cambria" w:eastAsia="Cambria"/>
          <w:sz w:val="20"/>
        </w:rPr>
        <w:t>Recovery instructions or contact / dependency information that users cannot reasonably recreate during a disruption.</w:t>
      </w:r>
    </w:p>
    <w:p>
      <w:pPr>
        <w:pStyle w:val="ListBullet"/>
        <w:spacing w:before="0" w:after="50" w:line="252" w:lineRule="auto"/>
      </w:pPr>
      <w:r>
        <w:rPr>
          <w:rFonts w:ascii="Cambria" w:hAnsi="Cambria" w:eastAsia="Cambria"/>
          <w:sz w:val="20"/>
        </w:rPr>
        <w:t>External information whose accuracy or currency can materially affect continuity capability.</w:t>
      </w:r>
    </w:p>
    <w:p>
      <w:pPr>
        <w:pStyle w:val="Heading1"/>
        <w:keepNext/>
        <w:spacing w:before="120" w:after="60" w:line="252" w:lineRule="auto"/>
      </w:pPr>
      <w:r>
        <w:rPr>
          <w:rFonts w:ascii="Cambria" w:hAnsi="Cambria" w:eastAsia="Cambria"/>
          <w:b/>
          <w:color w:val="1F4E79"/>
          <w:sz w:val="24"/>
        </w:rPr>
        <w:t>4. Document Quality Checklist</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Quality Question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Practical Check</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 it current?</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Content reflects current business services, people, systems, suppliers, locations and approved recovery priorities.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 it usable under pressure?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Users can quickly locate activation criteria, actions, decisions, contacts and resources without reading unnecessary theory.</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 ownership clear?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One role is accountable for maintenance and material changes.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 evidence traceable?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Key records identify date / period, scope, owner / reviewer and supporting evidence where appropriate.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 access resilient?</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Critical information can be reached if the primary repository, network, building or device is unavailable as relevant.</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 sensitivity controlled?</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Personal contact, security, supplier, facility and incident-sensitive information has suitable access protection.</w:t>
            </w:r>
          </w:p>
        </w:tc>
      </w:tr>
    </w:tbl>
    <w:p>
      <w:pPr>
        <w:pStyle w:val="Heading1"/>
        <w:keepNext/>
        <w:spacing w:before="120" w:after="60" w:line="252" w:lineRule="auto"/>
      </w:pPr>
      <w:r>
        <w:rPr>
          <w:rFonts w:ascii="Cambria" w:hAnsi="Cambria" w:eastAsia="Cambria"/>
          <w:b/>
          <w:color w:val="1F4E79"/>
          <w:sz w:val="24"/>
        </w:rPr>
        <w:t>5. Review and Change Triggers</w:t>
      </w:r>
    </w:p>
    <w:p>
      <w:pPr>
        <w:pStyle w:val="ListBullet"/>
        <w:spacing w:before="0" w:after="50" w:line="252" w:lineRule="auto"/>
      </w:pPr>
      <w:r>
        <w:rPr>
          <w:rFonts w:ascii="Cambria" w:hAnsi="Cambria" w:eastAsia="Cambria"/>
          <w:sz w:val="20"/>
        </w:rPr>
        <w:t>Scheduled review date</w:t>
      </w:r>
    </w:p>
    <w:p>
      <w:pPr>
        <w:pStyle w:val="ListBullet"/>
        <w:spacing w:before="0" w:after="50" w:line="252" w:lineRule="auto"/>
      </w:pPr>
      <w:r>
        <w:rPr>
          <w:rFonts w:ascii="Cambria" w:hAnsi="Cambria" w:eastAsia="Cambria"/>
          <w:sz w:val="20"/>
        </w:rPr>
        <w:t>Material BIA or risk-assessment change</w:t>
      </w:r>
    </w:p>
    <w:p>
      <w:pPr>
        <w:pStyle w:val="ListBullet"/>
        <w:spacing w:before="0" w:after="50" w:line="252" w:lineRule="auto"/>
      </w:pPr>
      <w:r>
        <w:rPr>
          <w:rFonts w:ascii="Cambria" w:hAnsi="Cambria" w:eastAsia="Cambria"/>
          <w:sz w:val="20"/>
        </w:rPr>
        <w:t>New or materially changed product/service, site, process or technology</w:t>
      </w:r>
    </w:p>
    <w:p>
      <w:pPr>
        <w:pStyle w:val="ListBullet"/>
        <w:spacing w:before="0" w:after="50" w:line="252" w:lineRule="auto"/>
      </w:pPr>
      <w:r>
        <w:rPr>
          <w:rFonts w:ascii="Cambria" w:hAnsi="Cambria" w:eastAsia="Cambria"/>
          <w:sz w:val="20"/>
        </w:rPr>
        <w:t>Supplier / outsourcing or facility change</w:t>
      </w:r>
    </w:p>
    <w:p>
      <w:pPr>
        <w:pStyle w:val="ListBullet"/>
        <w:spacing w:before="0" w:after="50" w:line="252" w:lineRule="auto"/>
      </w:pPr>
      <w:r>
        <w:rPr>
          <w:rFonts w:ascii="Cambria" w:hAnsi="Cambria" w:eastAsia="Cambria"/>
          <w:sz w:val="20"/>
        </w:rPr>
        <w:t>Exercise or real disruption identifying inaccurate information</w:t>
      </w:r>
    </w:p>
    <w:p>
      <w:pPr>
        <w:pStyle w:val="ListBullet"/>
        <w:spacing w:before="0" w:after="50" w:line="252" w:lineRule="auto"/>
      </w:pPr>
      <w:r>
        <w:rPr>
          <w:rFonts w:ascii="Cambria" w:hAnsi="Cambria" w:eastAsia="Cambria"/>
          <w:sz w:val="20"/>
        </w:rPr>
        <w:t>Audit / evaluation finding</w:t>
      </w:r>
    </w:p>
    <w:p>
      <w:pPr>
        <w:pStyle w:val="ListBullet"/>
        <w:spacing w:before="0" w:after="50" w:line="252" w:lineRule="auto"/>
      </w:pPr>
      <w:r>
        <w:rPr>
          <w:rFonts w:ascii="Cambria" w:hAnsi="Cambria" w:eastAsia="Cambria"/>
          <w:sz w:val="20"/>
        </w:rPr>
        <w:t>Organization / role / contact change affecting responsibilities or escalation</w:t>
      </w:r>
    </w:p>
    <w:p>
      <w:pPr>
        <w:pStyle w:val="Heading1"/>
        <w:keepNext/>
        <w:spacing w:before="120" w:after="60" w:line="252" w:lineRule="auto"/>
      </w:pPr>
      <w:r>
        <w:rPr>
          <w:rFonts w:ascii="Cambria" w:hAnsi="Cambria" w:eastAsia="Cambria"/>
          <w:b/>
          <w:color w:val="1F4E79"/>
          <w:sz w:val="24"/>
        </w:rPr>
        <w:t>6. Critical Information Availability</w:t>
      </w:r>
    </w:p>
    <w:p>
      <w:pPr>
        <w:spacing w:before="0" w:after="80" w:line="252" w:lineRule="auto"/>
      </w:pPr>
      <w:r>
        <w:rPr>
          <w:rFonts w:ascii="Cambria" w:hAnsi="Cambria" w:eastAsia="Cambria"/>
          <w:i w:val="0"/>
          <w:sz w:val="20"/>
        </w:rPr>
        <w:t>For critical business continuity plans, contact structures and recovery instructions, decide in advance what information must remain available when normal systems are unavailable. Suitable options can include controlled offline copies, alternate secure repositories, approved mobile access, printed packs for selected roles, or another arrangement appropriate to risk.</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Alternate-access copies must be controlled. Define who refreshes them, how users know the current version and how obsolete copies are withdrawn or destroyed.</w:t>
            </w:r>
          </w:p>
        </w:tc>
      </w:tr>
    </w:tbl>
    <w:p>
      <w:pPr>
        <w:spacing w:after="20"/>
      </w:pPr>
    </w:p>
    <w:p>
      <w:pPr>
        <w:pStyle w:val="Heading1"/>
        <w:keepNext/>
        <w:spacing w:before="120" w:after="60" w:line="252" w:lineRule="auto"/>
      </w:pPr>
      <w:r>
        <w:rPr>
          <w:rFonts w:ascii="Cambria" w:hAnsi="Cambria" w:eastAsia="Cambria"/>
          <w:b/>
          <w:color w:val="1F4E79"/>
          <w:sz w:val="24"/>
        </w:rPr>
        <w:t>7. Illustrative Document Control Register</w:t>
      </w:r>
    </w:p>
    <w:tbl>
      <w:tblPr>
        <w:tblW w:type="auto" w:w="0"/>
        <w:jc w:val="center"/>
        <w:tblLayout w:type="fixed"/>
        <w:tblLook w:val="04A0"/>
      </w:tblPr>
      <w:tblGrid>
        <w:gridCol w:w="1039"/>
        <w:gridCol w:w="1039"/>
        <w:gridCol w:w="1039"/>
        <w:gridCol w:w="1039"/>
        <w:gridCol w:w="1039"/>
        <w:gridCol w:w="1039"/>
        <w:gridCol w:w="1039"/>
        <w:gridCol w:w="1039"/>
        <w:gridCol w:w="1039"/>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Record ID</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Document / Record</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Type</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Review / Retention Trigger</w:t>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Location / Access</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Status</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Notes</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EX-BCMS-DOC-001</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Business Continuity Policy</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Policy</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Business Continuity Manager</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Annual / upon material change</w:t>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Controlled repository</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Current</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EX-BCMS-DOC-002</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Enterprise BIA Methodology</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Method</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BCMS Owner</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Annual / method change</w:t>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Controlled repository</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Current</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EX-BCMS-DOC-003</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Customer Service Continuity Plan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Operational Plan</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Customer Service Director</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Six-monthly / material change</w:t>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Primary + alternate secure access</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Due</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EX-BCMS-DOC-004</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Critical Supplier Continuity Evidence</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External / Record</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Supply Chain Manager</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On renewal / supplier change</w:t>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Supplier-risk repository</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Current</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EX-BCMS-DOC-005</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Exercise After-Action Report</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Record</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Exercise Coordinator</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Retain per schedule</w:t>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BCMS evidence repository</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Closed Record</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The first 5 rows are Illustrative Data. Replace or delete them before operational use; do not treat the sample titles or statuses as the organization’s actual document inventory.</w:t>
            </w:r>
          </w:p>
        </w:tc>
      </w:tr>
    </w:tbl>
    <w:p>
      <w:pPr>
        <w:spacing w:after="20"/>
      </w:pPr>
    </w:p>
    <w:p>
      <w:pPr>
        <w:pStyle w:val="Heading1"/>
        <w:keepNext/>
        <w:spacing w:before="120" w:after="60" w:line="252" w:lineRule="auto"/>
      </w:pPr>
      <w:r>
        <w:rPr>
          <w:rFonts w:ascii="Cambria" w:hAnsi="Cambria" w:eastAsia="Cambria"/>
          <w:b/>
          <w:color w:val="1F4E79"/>
          <w:sz w:val="24"/>
        </w:rPr>
        <w:t>8. Retention and Disposition</w:t>
      </w:r>
    </w:p>
    <w:p>
      <w:pPr>
        <w:spacing w:before="0" w:after="80" w:line="252" w:lineRule="auto"/>
      </w:pPr>
      <w:r>
        <w:rPr>
          <w:rFonts w:ascii="Cambria" w:hAnsi="Cambria" w:eastAsia="Cambria"/>
          <w:i w:val="0"/>
          <w:sz w:val="20"/>
        </w:rPr>
        <w:t>Set retention based on verified legal / contractual requirements, evidence value, organizational policy, dispute / investigation needs and the life of relevant decisions. Protect records from unauthorized alteration or premature destruction and retain a suitable disposition record when required.</w:t>
      </w:r>
    </w:p>
    <w:p>
      <w:pPr>
        <w:pStyle w:val="Heading1"/>
        <w:keepNext/>
        <w:spacing w:before="120" w:after="60" w:line="252" w:lineRule="auto"/>
      </w:pPr>
      <w:r>
        <w:rPr>
          <w:rFonts w:ascii="Cambria" w:hAnsi="Cambria" w:eastAsia="Cambria"/>
          <w:b/>
          <w:color w:val="1F4E79"/>
          <w:sz w:val="24"/>
        </w:rPr>
        <w:t>9. Common Failure Modes</w:t>
      </w:r>
    </w:p>
    <w:p>
      <w:pPr>
        <w:pStyle w:val="ListBullet"/>
        <w:spacing w:before="0" w:after="50" w:line="252" w:lineRule="auto"/>
      </w:pPr>
      <w:r>
        <w:rPr>
          <w:rFonts w:ascii="Cambria" w:hAnsi="Cambria" w:eastAsia="Cambria"/>
          <w:sz w:val="20"/>
        </w:rPr>
        <w:t>Too many documents with overlapping ownership.</w:t>
      </w:r>
    </w:p>
    <w:p>
      <w:pPr>
        <w:pStyle w:val="ListBullet"/>
        <w:spacing w:before="0" w:after="50" w:line="252" w:lineRule="auto"/>
      </w:pPr>
      <w:r>
        <w:rPr>
          <w:rFonts w:ascii="Cambria" w:hAnsi="Cambria" w:eastAsia="Cambria"/>
          <w:sz w:val="20"/>
        </w:rPr>
        <w:t>Plans are current in the repository but obsolete offline copies remain in use.</w:t>
      </w:r>
    </w:p>
    <w:p>
      <w:pPr>
        <w:pStyle w:val="ListBullet"/>
        <w:spacing w:before="0" w:after="50" w:line="252" w:lineRule="auto"/>
      </w:pPr>
      <w:r>
        <w:rPr>
          <w:rFonts w:ascii="Cambria" w:hAnsi="Cambria" w:eastAsia="Cambria"/>
          <w:sz w:val="20"/>
        </w:rPr>
        <w:t>Contact data is accurate only immediately after exercises, then ages without an owner.</w:t>
      </w:r>
    </w:p>
    <w:p>
      <w:pPr>
        <w:pStyle w:val="ListBullet"/>
        <w:spacing w:before="0" w:after="50" w:line="252" w:lineRule="auto"/>
      </w:pPr>
      <w:r>
        <w:rPr>
          <w:rFonts w:ascii="Cambria" w:hAnsi="Cambria" w:eastAsia="Cambria"/>
          <w:sz w:val="20"/>
        </w:rPr>
        <w:t>BIA or strategy changes do not trigger related plan updates.</w:t>
      </w:r>
    </w:p>
    <w:p>
      <w:pPr>
        <w:pStyle w:val="ListBullet"/>
        <w:spacing w:before="0" w:after="50" w:line="252" w:lineRule="auto"/>
      </w:pPr>
      <w:r>
        <w:rPr>
          <w:rFonts w:ascii="Cambria" w:hAnsi="Cambria" w:eastAsia="Cambria"/>
          <w:sz w:val="20"/>
        </w:rPr>
        <w:t>Records prove that a meeting or exercise happened but do not show decisions, outcomes or follow-up.</w:t>
      </w:r>
    </w:p>
    <w:p>
      <w:pPr>
        <w:pStyle w:val="Heading1"/>
        <w:keepNext/>
        <w:spacing w:before="120" w:after="60" w:line="252" w:lineRule="auto"/>
      </w:pPr>
      <w:r>
        <w:rPr>
          <w:rFonts w:ascii="Cambria" w:hAnsi="Cambria" w:eastAsia="Cambria"/>
          <w:b/>
          <w:color w:val="1F4E79"/>
          <w:sz w:val="24"/>
        </w:rPr>
        <w:t>References</w:t>
      </w:r>
    </w:p>
    <w:p>
      <w:pPr>
        <w:pStyle w:val="ListBullet"/>
        <w:spacing w:before="0" w:after="50" w:line="252" w:lineRule="auto"/>
      </w:pPr>
      <w:r>
        <w:rPr>
          <w:rFonts w:ascii="Cambria" w:hAnsi="Cambria" w:eastAsia="Cambria"/>
          <w:sz w:val="20"/>
        </w:rPr>
        <w:t>ISO 22301:2019 — Security and resilience — Business continuity management systems — Requirements.</w:t>
      </w:r>
    </w:p>
    <w:p>
      <w:pPr>
        <w:pStyle w:val="ListBullet"/>
        <w:spacing w:before="0" w:after="50" w:line="252" w:lineRule="auto"/>
      </w:pPr>
      <w:r>
        <w:rPr>
          <w:rFonts w:ascii="Cambria" w:hAnsi="Cambria" w:eastAsia="Cambria"/>
          <w:sz w:val="20"/>
        </w:rPr>
        <w:t>ISO 22301:2019/Amd 1:2024 — Climate action changes.</w:t>
      </w:r>
    </w:p>
    <w:p>
      <w:pPr>
        <w:pStyle w:val="ListBullet"/>
        <w:spacing w:before="0" w:after="50" w:line="252" w:lineRule="auto"/>
      </w:pPr>
      <w:r>
        <w:rPr>
          <w:rFonts w:ascii="Cambria" w:hAnsi="Cambria" w:eastAsia="Cambria"/>
          <w:sz w:val="20"/>
        </w:rPr>
        <w:t>ISO 22313:2020 — Security and resilience — Business continuity management systems — Guidance on the use of ISO 22301.</w:t>
      </w:r>
    </w:p>
    <w:p>
      <w:pPr>
        <w:pStyle w:val="ListBullet"/>
        <w:spacing w:before="0" w:after="50" w:line="252" w:lineRule="auto"/>
      </w:pPr>
      <w:r>
        <w:rPr>
          <w:rFonts w:ascii="Cambria" w:hAnsi="Cambria" w:eastAsia="Cambria"/>
          <w:sz w:val="20"/>
        </w:rPr>
        <w:t>Controlled organization-specific BCMS policies, BIA records, risk assessments, continuity strategies, plans, exercise records, audit records and improvement actions.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Business Continuity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Documented Information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BCMS-GOV-003</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