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BUSINESS CONTINUITY POLICY, OBJECTIVES &amp; INDICATORS GUIDANCE</w:t>
      </w:r>
    </w:p>
    <w:p>
      <w:pPr>
        <w:spacing w:after="120"/>
      </w:pPr>
      <w:r>
        <w:rPr>
          <w:rFonts w:ascii="Cambria" w:hAnsi="Cambria" w:eastAsia="Cambria"/>
          <w:b/>
          <w:sz w:val="23"/>
        </w:rPr>
        <w:t>ISO 22301:2019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Business Continuity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practical guidance for establishing a concise business continuity policy and a useful set of BCMS objectives and indicators that support leadership decisions and continual improvement.</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Do not copy the sample policy wording unchanged. Tailor commitments, scope, business priorities and governance language to the organization before approval.</w:t>
            </w:r>
          </w:p>
        </w:tc>
      </w:tr>
    </w:tbl>
    <w:p>
      <w:pPr>
        <w:spacing w:after="20"/>
      </w:pPr>
    </w:p>
    <w:p>
      <w:pPr>
        <w:pStyle w:val="Heading1"/>
        <w:keepNext/>
        <w:spacing w:before="120" w:after="60" w:line="252" w:lineRule="auto"/>
      </w:pPr>
      <w:r>
        <w:rPr>
          <w:rFonts w:ascii="Cambria" w:hAnsi="Cambria" w:eastAsia="Cambria"/>
          <w:b/>
          <w:color w:val="1F4E79"/>
          <w:sz w:val="24"/>
        </w:rPr>
        <w:t>2. Policy Design Principles</w:t>
      </w:r>
    </w:p>
    <w:p>
      <w:pPr>
        <w:pStyle w:val="ListBullet"/>
        <w:spacing w:before="0" w:after="50" w:line="252" w:lineRule="auto"/>
      </w:pPr>
      <w:r>
        <w:rPr>
          <w:rFonts w:ascii="Cambria" w:hAnsi="Cambria" w:eastAsia="Cambria"/>
          <w:sz w:val="20"/>
        </w:rPr>
        <w:t>Keep the policy short enough for leaders and personnel to understand.</w:t>
      </w:r>
    </w:p>
    <w:p>
      <w:pPr>
        <w:pStyle w:val="ListBullet"/>
        <w:spacing w:before="0" w:after="50" w:line="252" w:lineRule="auto"/>
      </w:pPr>
      <w:r>
        <w:rPr>
          <w:rFonts w:ascii="Cambria" w:hAnsi="Cambria" w:eastAsia="Cambria"/>
          <w:sz w:val="20"/>
        </w:rPr>
        <w:t>Align commitments with the organization’s purpose, BCMS scope and continuity needs.</w:t>
      </w:r>
    </w:p>
    <w:p>
      <w:pPr>
        <w:pStyle w:val="ListBullet"/>
        <w:spacing w:before="0" w:after="50" w:line="252" w:lineRule="auto"/>
      </w:pPr>
      <w:r>
        <w:rPr>
          <w:rFonts w:ascii="Cambria" w:hAnsi="Cambria" w:eastAsia="Cambria"/>
          <w:sz w:val="20"/>
        </w:rPr>
        <w:t>Include commitments to meet applicable requirements, maintain/improve continuity capability and continually improve the BCMS.</w:t>
      </w:r>
    </w:p>
    <w:p>
      <w:pPr>
        <w:pStyle w:val="ListBullet"/>
        <w:spacing w:before="0" w:after="50" w:line="252" w:lineRule="auto"/>
      </w:pPr>
      <w:r>
        <w:rPr>
          <w:rFonts w:ascii="Cambria" w:hAnsi="Cambria" w:eastAsia="Cambria"/>
          <w:sz w:val="20"/>
        </w:rPr>
        <w:t>Use language that supports real decisions, resource allocation, exercises and corrective action.</w:t>
      </w:r>
    </w:p>
    <w:p>
      <w:pPr>
        <w:pStyle w:val="ListBullet"/>
        <w:spacing w:before="0" w:after="50" w:line="252" w:lineRule="auto"/>
      </w:pPr>
      <w:r>
        <w:rPr>
          <w:rFonts w:ascii="Cambria" w:hAnsi="Cambria" w:eastAsia="Cambria"/>
          <w:sz w:val="20"/>
        </w:rPr>
        <w:t>Approve through the organization’s formal governance process and communicate to relevant interested parties as appropriate.</w:t>
      </w:r>
    </w:p>
    <w:p>
      <w:pPr>
        <w:pStyle w:val="Heading1"/>
        <w:keepNext/>
        <w:spacing w:before="120" w:after="60" w:line="252" w:lineRule="auto"/>
      </w:pPr>
      <w:r>
        <w:rPr>
          <w:rFonts w:ascii="Cambria" w:hAnsi="Cambria" w:eastAsia="Cambria"/>
          <w:b/>
          <w:color w:val="1F4E79"/>
          <w:sz w:val="24"/>
        </w:rPr>
        <w:t>3. Sample Policy Framework</w:t>
      </w:r>
    </w:p>
    <w:tbl>
      <w:tblPr>
        <w:tblW w:type="auto" w:w="0"/>
        <w:jc w:val="center"/>
        <w:tblLayout w:type="fixed"/>
        <w:tblLook w:val="04A0"/>
      </w:tblPr>
      <w:tblGrid>
        <w:gridCol w:w="4677"/>
        <w:gridCol w:w="4677"/>
      </w:tblGrid>
      <w:tr>
        <w:trPr>
          <w:tblHeader w:val="true"/>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Policy element</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Example wording to tailor</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Purpose</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[ORGANIZATION] maintains a Business Continuity Management System to prepare for disruption, continue prioritized products/services at an acceptable capacity and support timely recovery.</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Scope</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This policy applies to the approved BCMS scope and relevant internal/external dependencies.</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Commitments</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We identify continuity requirements, perform BIA and risk assessment, implement proportionate strategies/plans, exercise capability, meet applicable requirements and improve the BCMS.</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Leadership</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management provides direction, resources and oversight and expects accountable owners to maintain continuity capability.</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Personnel</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Relevant personnel are expected to understand assigned continuity responsibilities, participate in exercises and report weaknesses or changes.</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The policy is reviewed at planned intervals and when material organizational, continuity or requirement changes occur.</w:t>
            </w:r>
          </w:p>
        </w:tc>
      </w:tr>
    </w:tbl>
    <w:p>
      <w:pPr>
        <w:pStyle w:val="Heading1"/>
        <w:keepNext/>
        <w:spacing w:before="120" w:after="60" w:line="252" w:lineRule="auto"/>
      </w:pPr>
      <w:r>
        <w:rPr>
          <w:rFonts w:ascii="Cambria" w:hAnsi="Cambria" w:eastAsia="Cambria"/>
          <w:b/>
          <w:color w:val="1F4E79"/>
          <w:sz w:val="24"/>
        </w:rPr>
        <w:t>4. Objective-Setting Method</w:t>
      </w:r>
    </w:p>
    <w:p>
      <w:pPr>
        <w:spacing w:before="0" w:after="80" w:line="252" w:lineRule="auto"/>
      </w:pPr>
      <w:r>
        <w:rPr>
          <w:rFonts w:ascii="Cambria" w:hAnsi="Cambria" w:eastAsia="Cambria"/>
          <w:i w:val="0"/>
          <w:sz w:val="20"/>
        </w:rPr>
        <w:t>Select a small number of objectives that address material continuity priorities. Each objective should have an accountable owner, target or decision threshold, data source, reporting frequency and action rule. Avoid objectives that only measure document completion.</w:t>
      </w:r>
    </w:p>
    <w:p>
      <w:pPr>
        <w:pStyle w:val="Heading1"/>
        <w:keepNext/>
        <w:spacing w:before="120" w:after="60" w:line="252" w:lineRule="auto"/>
      </w:pPr>
      <w:r>
        <w:rPr>
          <w:rFonts w:ascii="Cambria" w:hAnsi="Cambria" w:eastAsia="Cambria"/>
          <w:b/>
          <w:color w:val="1F4E79"/>
          <w:sz w:val="24"/>
        </w:rPr>
        <w:t>5. Illustrative Objectives and Indicators</w:t>
      </w:r>
    </w:p>
    <w:tbl>
      <w:tblPr>
        <w:tblW w:type="auto" w:w="0"/>
        <w:jc w:val="center"/>
        <w:tblLayout w:type="fixed"/>
        <w:tblLook w:val="04A0"/>
      </w:tblPr>
      <w:tblGrid>
        <w:gridCol w:w="1871"/>
        <w:gridCol w:w="1871"/>
        <w:gridCol w:w="1871"/>
        <w:gridCol w:w="1871"/>
        <w:gridCol w:w="1871"/>
      </w:tblGrid>
      <w:tr>
        <w:trPr>
          <w:tblHeader w:val="true"/>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Objective</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Indicator</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Illustrative target / trigger</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Owner</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Management use</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Maintain current BIA coverage</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 of in-scope prioritized activities with BIA reviewed within approved cycle</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 95%; escalate overdue critical BIA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Business Continuity Manager</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Shows whether recovery priorities and resource data are current.</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Improve continuity-plan readiness</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 of prioritized activities with approved plans aligned to current BIA</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 95%; no unapproved High-priority gap</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Business / Process Owners</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Highlights readiness gaps before exercises or disruption.</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Demonstrate recovery capability</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 of planned exercises completed with objectives met or actions assigned</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100% planned exercises; material failures have actions</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Exercise Coordinator</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Provides capability evidence rather than attendance only.</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Reduce overdue material actions</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Count / % High-priority BCMS actions overdue</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0 High overdue; trend reviewed monthly</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BCMS Assurance Lead</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Directs management attention to unresolved capability gaps.</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Strengthen critical dependency readiness</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 of selected critical supplier / technology dependencies with current continuity evidence</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Target set by risk tier / criticality</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Supply Chain / IT Resilience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Tests whether external/technology dependencies support approved recovery needs.</w:t>
            </w:r>
          </w:p>
        </w:tc>
      </w:tr>
    </w:tbl>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Targets above are Illustrative Data. Set targets using risk, historical performance, contractual/regulatory expectations, approved recovery needs and available capability evidence.</w:t>
            </w:r>
          </w:p>
        </w:tc>
      </w:tr>
    </w:tbl>
    <w:p>
      <w:pPr>
        <w:spacing w:after="20"/>
      </w:pPr>
    </w:p>
    <w:p>
      <w:pPr>
        <w:pStyle w:val="Heading1"/>
        <w:keepNext/>
        <w:spacing w:before="120" w:after="60" w:line="252" w:lineRule="auto"/>
      </w:pPr>
      <w:r>
        <w:rPr>
          <w:rFonts w:ascii="Cambria" w:hAnsi="Cambria" w:eastAsia="Cambria"/>
          <w:b/>
          <w:color w:val="1F4E79"/>
          <w:sz w:val="24"/>
        </w:rPr>
        <w:t>6. Indicator Design Rules</w:t>
      </w:r>
    </w:p>
    <w:tbl>
      <w:tblPr>
        <w:tblW w:type="auto" w:w="0"/>
        <w:jc w:val="center"/>
        <w:tblLayout w:type="fixed"/>
        <w:tblLook w:val="04A0"/>
      </w:tblPr>
      <w:tblGrid>
        <w:gridCol w:w="4677"/>
        <w:gridCol w:w="4677"/>
      </w:tblGrid>
      <w:tr>
        <w:trPr>
          <w:tblHeader w:val="true"/>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Good indicator characteristic</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Practical test</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Decision-relevant</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Will management change priority, resource, action or escalation based on this result?</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Traceable</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Can the reported value be traced to a controlled record or system source?</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Balanced</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Does the set include readiness/capability measures as well as activity completion?</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Risk-sensitive</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Does it distinguish critical / High-priority items from routine items?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Actionable</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 there an owner and defined response when the result breaches a threshold?</w:t>
            </w:r>
          </w:p>
        </w:tc>
      </w:tr>
    </w:tbl>
    <w:p>
      <w:pPr>
        <w:pStyle w:val="Heading1"/>
        <w:keepNext/>
        <w:spacing w:before="120" w:after="60" w:line="252" w:lineRule="auto"/>
      </w:pPr>
      <w:r>
        <w:rPr>
          <w:rFonts w:ascii="Cambria" w:hAnsi="Cambria" w:eastAsia="Cambria"/>
          <w:b/>
          <w:color w:val="1F4E79"/>
          <w:sz w:val="24"/>
        </w:rPr>
        <w:t>7. Suggested Indicator Portfolio</w:t>
      </w:r>
    </w:p>
    <w:p>
      <w:pPr>
        <w:pStyle w:val="ListBullet"/>
        <w:spacing w:before="0" w:after="50" w:line="252" w:lineRule="auto"/>
      </w:pPr>
      <w:r>
        <w:rPr>
          <w:rFonts w:ascii="Cambria" w:hAnsi="Cambria" w:eastAsia="Cambria"/>
          <w:sz w:val="20"/>
        </w:rPr>
        <w:t>BIA review currency and overdue critical BIAs;</w:t>
      </w:r>
    </w:p>
    <w:p>
      <w:pPr>
        <w:pStyle w:val="ListBullet"/>
        <w:spacing w:before="0" w:after="50" w:line="252" w:lineRule="auto"/>
      </w:pPr>
      <w:r>
        <w:rPr>
          <w:rFonts w:ascii="Cambria" w:hAnsi="Cambria" w:eastAsia="Cambria"/>
          <w:sz w:val="20"/>
        </w:rPr>
        <w:t>plan currency / approval status for prioritized activities;</w:t>
      </w:r>
    </w:p>
    <w:p>
      <w:pPr>
        <w:pStyle w:val="ListBullet"/>
        <w:spacing w:before="0" w:after="50" w:line="252" w:lineRule="auto"/>
      </w:pPr>
      <w:r>
        <w:rPr>
          <w:rFonts w:ascii="Cambria" w:hAnsi="Cambria" w:eastAsia="Cambria"/>
          <w:sz w:val="20"/>
        </w:rPr>
        <w:t>exercise completion, objective achievement and repeat weaknesses;</w:t>
      </w:r>
    </w:p>
    <w:p>
      <w:pPr>
        <w:pStyle w:val="ListBullet"/>
        <w:spacing w:before="0" w:after="50" w:line="252" w:lineRule="auto"/>
      </w:pPr>
      <w:r>
        <w:rPr>
          <w:rFonts w:ascii="Cambria" w:hAnsi="Cambria" w:eastAsia="Cambria"/>
          <w:sz w:val="20"/>
        </w:rPr>
        <w:t>strategy/solution capability gaps and capacity validation;</w:t>
      </w:r>
    </w:p>
    <w:p>
      <w:pPr>
        <w:pStyle w:val="ListBullet"/>
        <w:spacing w:before="0" w:after="50" w:line="252" w:lineRule="auto"/>
      </w:pPr>
      <w:r>
        <w:rPr>
          <w:rFonts w:ascii="Cambria" w:hAnsi="Cambria" w:eastAsia="Cambria"/>
          <w:sz w:val="20"/>
        </w:rPr>
        <w:t>critical technology / supplier continuity readiness;</w:t>
      </w:r>
    </w:p>
    <w:p>
      <w:pPr>
        <w:pStyle w:val="ListBullet"/>
        <w:spacing w:before="0" w:after="50" w:line="252" w:lineRule="auto"/>
      </w:pPr>
      <w:r>
        <w:rPr>
          <w:rFonts w:ascii="Cambria" w:hAnsi="Cambria" w:eastAsia="Cambria"/>
          <w:sz w:val="20"/>
        </w:rPr>
        <w:t>BCMS training / role competence for designated teams;</w:t>
      </w:r>
    </w:p>
    <w:p>
      <w:pPr>
        <w:pStyle w:val="ListBullet"/>
        <w:spacing w:before="0" w:after="50" w:line="252" w:lineRule="auto"/>
      </w:pPr>
      <w:r>
        <w:rPr>
          <w:rFonts w:ascii="Cambria" w:hAnsi="Cambria" w:eastAsia="Cambria"/>
          <w:sz w:val="20"/>
        </w:rPr>
        <w:t>overdue corrective actions and effectiveness verification;</w:t>
      </w:r>
    </w:p>
    <w:p>
      <w:pPr>
        <w:pStyle w:val="ListBullet"/>
        <w:spacing w:before="0" w:after="50" w:line="252" w:lineRule="auto"/>
      </w:pPr>
      <w:r>
        <w:rPr>
          <w:rFonts w:ascii="Cambria" w:hAnsi="Cambria" w:eastAsia="Cambria"/>
          <w:sz w:val="20"/>
        </w:rPr>
        <w:t>audit findings, recurring themes and management-review decisions.</w:t>
      </w:r>
    </w:p>
    <w:p>
      <w:pPr>
        <w:pStyle w:val="Heading1"/>
        <w:keepNext/>
        <w:spacing w:before="120" w:after="60" w:line="252" w:lineRule="auto"/>
      </w:pPr>
      <w:r>
        <w:rPr>
          <w:rFonts w:ascii="Cambria" w:hAnsi="Cambria" w:eastAsia="Cambria"/>
          <w:b/>
          <w:color w:val="1F4E79"/>
          <w:sz w:val="24"/>
        </w:rPr>
        <w:t>8. Reporting and Review</w:t>
      </w:r>
    </w:p>
    <w:p>
      <w:pPr>
        <w:spacing w:before="0" w:after="80" w:line="252" w:lineRule="auto"/>
      </w:pPr>
      <w:r>
        <w:rPr>
          <w:rFonts w:ascii="Cambria" w:hAnsi="Cambria" w:eastAsia="Cambria"/>
          <w:i w:val="0"/>
          <w:sz w:val="20"/>
        </w:rPr>
        <w:t>Review indicators at the cadence appropriate to risk and decision needs. Explain material changes, data limitations and actions. Management review should consider whether objectives remain suitable as business priorities, threats, dependencies, climate conditions or stakeholder expectations change.</w:t>
      </w:r>
    </w:p>
    <w:p>
      <w:pPr>
        <w:pStyle w:val="Heading1"/>
        <w:keepNext/>
        <w:spacing w:before="120" w:after="60" w:line="252" w:lineRule="auto"/>
      </w:pPr>
      <w:r>
        <w:rPr>
          <w:rFonts w:ascii="Cambria" w:hAnsi="Cambria" w:eastAsia="Cambria"/>
          <w:b/>
          <w:color w:val="1F4E79"/>
          <w:sz w:val="24"/>
        </w:rPr>
        <w:t>References</w:t>
      </w:r>
    </w:p>
    <w:p>
      <w:pPr>
        <w:pStyle w:val="ListBullet"/>
        <w:spacing w:before="0" w:after="50" w:line="252" w:lineRule="auto"/>
      </w:pPr>
      <w:r>
        <w:rPr>
          <w:rFonts w:ascii="Cambria" w:hAnsi="Cambria" w:eastAsia="Cambria"/>
          <w:sz w:val="20"/>
        </w:rPr>
        <w:t>ISO 22301:2019 — Security and resilience — Business continuity management systems — Requirements.</w:t>
      </w:r>
    </w:p>
    <w:p>
      <w:pPr>
        <w:pStyle w:val="ListBullet"/>
        <w:spacing w:before="0" w:after="50" w:line="252" w:lineRule="auto"/>
      </w:pPr>
      <w:r>
        <w:rPr>
          <w:rFonts w:ascii="Cambria" w:hAnsi="Cambria" w:eastAsia="Cambria"/>
          <w:sz w:val="20"/>
        </w:rPr>
        <w:t>ISO 22301:2019/Amd 1:2024 — Climate action changes.</w:t>
      </w:r>
    </w:p>
    <w:p>
      <w:pPr>
        <w:pStyle w:val="ListBullet"/>
        <w:spacing w:before="0" w:after="50" w:line="252" w:lineRule="auto"/>
      </w:pPr>
      <w:r>
        <w:rPr>
          <w:rFonts w:ascii="Cambria" w:hAnsi="Cambria" w:eastAsia="Cambria"/>
          <w:sz w:val="20"/>
        </w:rPr>
        <w:t>ISO 22313:2020 — Security and resilience — Business continuity management systems — Guidance on the use of ISO 22301.</w:t>
      </w:r>
    </w:p>
    <w:p>
      <w:pPr>
        <w:pStyle w:val="ListBullet"/>
        <w:spacing w:before="0" w:after="50" w:line="252" w:lineRule="auto"/>
      </w:pPr>
      <w:r>
        <w:rPr>
          <w:rFonts w:ascii="Cambria" w:hAnsi="Cambria" w:eastAsia="Cambria"/>
          <w:sz w:val="20"/>
        </w:rPr>
        <w:t>Controlled organization-specific BCMS policies, BIA records, risk assessments, strategies, plans, exercise records, audit records and improvement actions.</w:t>
      </w:r>
    </w:p>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Business Continuity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Business Continuity Policy, Objectives &amp; Indicators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BCMS-GOV-002</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