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BUSINESS CONTINUITY MANAGEMENT REVIEW PROCEDURE</w:t>
      </w:r>
    </w:p>
    <w:p>
      <w:pPr>
        <w:spacing w:after="120"/>
      </w:pPr>
      <w:r>
        <w:rPr>
          <w:rFonts w:ascii="Cambria" w:hAnsi="Cambria" w:eastAsia="Cambria"/>
          <w:b/>
          <w:sz w:val="23"/>
        </w:rPr>
        <w:t>ISO 22301:2019 + Amd 1:2024</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Business Continuity Manager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Management review should drive decisions on BCMS suitability, adequacy, effectiveness and resource priorities. It is not only a presentation of KPI slides or a formal approval meeting.</w:t>
            </w:r>
          </w:p>
        </w:tc>
      </w:tr>
    </w:tbl>
    <w:p>
      <w:pPr>
        <w:spacing w:after="2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Define how top management periodically reviews the BCMS using current evidence and records decisions, actions and resource commitments needed to sustain or improve continuity capability.</w:t>
      </w:r>
    </w:p>
    <w:p>
      <w:pPr>
        <w:pStyle w:val="Heading1"/>
        <w:keepNext/>
        <w:spacing w:before="120" w:after="60" w:line="252" w:lineRule="auto"/>
      </w:pPr>
      <w:r>
        <w:rPr>
          <w:rFonts w:ascii="Cambria" w:hAnsi="Cambria" w:eastAsia="Cambria"/>
          <w:b/>
          <w:color w:val="1F4E79"/>
          <w:sz w:val="24"/>
        </w:rPr>
        <w:t>2. Scope</w:t>
      </w:r>
    </w:p>
    <w:p>
      <w:pPr>
        <w:spacing w:before="0" w:after="80" w:line="252" w:lineRule="auto"/>
      </w:pPr>
      <w:r>
        <w:rPr>
          <w:rFonts w:ascii="Cambria" w:hAnsi="Cambria" w:eastAsia="Cambria"/>
          <w:i w:val="0"/>
          <w:sz w:val="20"/>
        </w:rPr>
        <w:t>Applies to planned BCMS management reviews covering the approved BCMS scope and any interim executive review required after material disruption, major exercise failure, significant change or other event affecting continuity capability.</w:t>
      </w:r>
    </w:p>
    <w:p>
      <w:pPr>
        <w:pStyle w:val="Heading1"/>
        <w:keepNext/>
        <w:spacing w:before="120" w:after="60" w:line="252" w:lineRule="auto"/>
      </w:pPr>
      <w:r>
        <w:rPr>
          <w:rFonts w:ascii="Cambria" w:hAnsi="Cambria" w:eastAsia="Cambria"/>
          <w:b/>
          <w:color w:val="1F4E79"/>
          <w:sz w:val="24"/>
        </w:rPr>
        <w:t>3. Responsibilities</w:t>
      </w:r>
    </w:p>
    <w:tbl>
      <w:tblPr>
        <w:tblW w:type="auto" w:w="0"/>
        <w:jc w:val="center"/>
        <w:tblLayout w:type="fixed"/>
        <w:tblLook w:val="04A0"/>
      </w:tblPr>
      <w:tblGrid>
        <w:gridCol w:w="4677"/>
        <w:gridCol w:w="4677"/>
      </w:tblGrid>
      <w:tr>
        <w:trPr>
          <w:tblHeader w:val="true"/>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Role</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Responsibility</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Top Management / Chair</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Review evidence, challenge assumptions, make decisions, approve priorities/resources and assign accountable actions.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Business Continuity Manager / Secretary</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Plan the review, compile evidence, prepare pre-read, record decisions/minutes and track actions.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Business / Process Owners</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current BIA, recovery, strategy, plan, exercise and improvement information for their areas.</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Support Function Leads</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technology, facilities, supplier, people, communications and other capability evidence.</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Internal Audit / Assurance</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audit themes and follow-up status while preserving independence.</w:t>
            </w:r>
          </w:p>
        </w:tc>
      </w:tr>
    </w:tbl>
    <w:p>
      <w:pPr>
        <w:pStyle w:val="Heading1"/>
        <w:keepNext/>
        <w:spacing w:before="120" w:after="60" w:line="252" w:lineRule="auto"/>
      </w:pPr>
      <w:r>
        <w:rPr>
          <w:rFonts w:ascii="Cambria" w:hAnsi="Cambria" w:eastAsia="Cambria"/>
          <w:b/>
          <w:color w:val="1F4E79"/>
          <w:sz w:val="24"/>
        </w:rPr>
        <w:t>4. Procedure</w:t>
      </w:r>
    </w:p>
    <w:tbl>
      <w:tblPr>
        <w:tblW w:type="auto" w:w="0"/>
        <w:jc w:val="center"/>
        <w:tblLayout w:type="fixed"/>
        <w:tblLook w:val="04A0"/>
      </w:tblPr>
      <w:tblGrid>
        <w:gridCol w:w="2339"/>
        <w:gridCol w:w="2339"/>
        <w:gridCol w:w="2339"/>
        <w:gridCol w:w="2339"/>
      </w:tblGrid>
      <w:tr>
        <w:trPr>
          <w:tblHeader w:val="true"/>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Step</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Responsible</w:t>
            </w:r>
          </w:p>
        </w:tc>
        <w:tc>
          <w:tcPr>
            <w:tcW w:type="dxa" w:w="48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Activity</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Output / Record</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BCMS Owner</w:t>
            </w:r>
          </w:p>
        </w:tc>
        <w:tc>
          <w:tcPr>
            <w:tcW w:type="dxa" w:w="48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Set the review date, chair, attendees and scope; identify any exceptional issues requiring additional participants.</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schedule / invitation</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2</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BCMS Owner / Input Owners</w:t>
            </w:r>
          </w:p>
        </w:tc>
        <w:tc>
          <w:tcPr>
            <w:tcW w:type="dxa" w:w="48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Collect current evidence and trends, including prior actions, context changes, objectives, BIA/risk changes, incidents/disruptions, exercise results, capability evaluations, audit findings, supplier/technology readiness and improvement status.</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Management review pre-read</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3</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BCMS Owner</w:t>
            </w:r>
          </w:p>
        </w:tc>
        <w:tc>
          <w:tcPr>
            <w:tcW w:type="dxa" w:w="48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Validate that data covers the agreed period and distinguish confirmed evidence from assumptions, planned work or unresolved gaps.</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Validated input pack</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4</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Top Management / Chair</w:t>
            </w:r>
          </w:p>
        </w:tc>
        <w:tc>
          <w:tcPr>
            <w:tcW w:type="dxa" w:w="48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significant changes, continuity performance, capability constraints and progress against prior decisions. Challenge recovery assumptions and unresolved dependencies.</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Discussion / decisions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5</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Top Management</w:t>
            </w:r>
          </w:p>
        </w:tc>
        <w:tc>
          <w:tcPr>
            <w:tcW w:type="dxa" w:w="48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Decide changes to policy/objectives, scope, strategies, resources, plans, exercise priorities, assurance focus or improvement actions as needed.</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decisions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6</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Secretary</w:t>
            </w:r>
          </w:p>
        </w:tc>
        <w:tc>
          <w:tcPr>
            <w:tcW w:type="dxa" w:w="48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Record decisions, rationale where useful, accountable owners, target dates and escalation / follow-up requirements.</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minutes / action log</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7</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Action Owners</w:t>
            </w:r>
          </w:p>
        </w:tc>
        <w:tc>
          <w:tcPr>
            <w:tcW w:type="dxa" w:w="48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Implement assigned actions and retain evidence. Request changes to due dates through the approved governance route.</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Implementation evidence</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8</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BCMS Owner</w:t>
            </w:r>
          </w:p>
        </w:tc>
        <w:tc>
          <w:tcPr>
            <w:tcW w:type="dxa" w:w="48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Track actions to closure, escalate overdue / blocked high-priority items and feed results into the next review.</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Closed / escalated actions</w:t>
            </w:r>
          </w:p>
        </w:tc>
      </w:tr>
    </w:tbl>
    <w:p>
      <w:pPr>
        <w:pStyle w:val="Heading1"/>
        <w:keepNext/>
        <w:spacing w:before="120" w:after="60" w:line="252" w:lineRule="auto"/>
      </w:pPr>
      <w:r>
        <w:rPr>
          <w:rFonts w:ascii="Cambria" w:hAnsi="Cambria" w:eastAsia="Cambria"/>
          <w:b/>
          <w:color w:val="1F4E79"/>
          <w:sz w:val="24"/>
        </w:rPr>
        <w:t>5. Minimum Review Inputs</w:t>
      </w:r>
    </w:p>
    <w:tbl>
      <w:tblPr>
        <w:tblW w:type="auto" w:w="0"/>
        <w:jc w:val="center"/>
        <w:tblLayout w:type="fixed"/>
        <w:tblLook w:val="04A0"/>
      </w:tblPr>
      <w:tblGrid>
        <w:gridCol w:w="4677"/>
        <w:gridCol w:w="4677"/>
      </w:tblGrid>
      <w:tr>
        <w:trPr>
          <w:tblHeader w:val="true"/>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Input Theme</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Evidence / Questions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Prior actions</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What is complete, overdue, ineffective or blocked?</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Context / interested parties</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What significant internal/external changes, including relevant climate-related considerations, affect continuity needs?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Objectives / indicators</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Are objectives achieved and are indicators decision-useful?</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BIA / risk changes</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Have prioritized activities, recovery priorities, dependencies or disruption risks materially changed?</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Strategies / plans</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Can approved strategies and plans meet current priorities and capacity needs?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Exercises / disruptions</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What was learned from exercises, tests and real events; what capability remains unproven?</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Performance / assurance</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Monitoring, evaluation, internal audit, corrective action and repeat-issue trends.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Resources / improvement</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Where are investments, people, supplier, technology or facility decisions needed?</w:t>
            </w:r>
          </w:p>
        </w:tc>
      </w:tr>
    </w:tbl>
    <w:p>
      <w:pPr>
        <w:pStyle w:val="Heading1"/>
        <w:keepNext/>
        <w:spacing w:before="120" w:after="60" w:line="252" w:lineRule="auto"/>
      </w:pPr>
      <w:r>
        <w:rPr>
          <w:rFonts w:ascii="Cambria" w:hAnsi="Cambria" w:eastAsia="Cambria"/>
          <w:b/>
          <w:color w:val="1F4E79"/>
          <w:sz w:val="24"/>
        </w:rPr>
        <w:t>6. Illustrative Management Review Action Log</w:t>
      </w:r>
    </w:p>
    <w:tbl>
      <w:tblPr>
        <w:tblW w:type="auto" w:w="0"/>
        <w:jc w:val="center"/>
        <w:tblLayout w:type="fixed"/>
        <w:tblLook w:val="04A0"/>
      </w:tblPr>
      <w:tblGrid>
        <w:gridCol w:w="1039"/>
        <w:gridCol w:w="1039"/>
        <w:gridCol w:w="1039"/>
        <w:gridCol w:w="1039"/>
        <w:gridCol w:w="1039"/>
        <w:gridCol w:w="1039"/>
        <w:gridCol w:w="1039"/>
        <w:gridCol w:w="1039"/>
        <w:gridCol w:w="1039"/>
      </w:tblGrid>
      <w:tr>
        <w:trPr>
          <w:tblHeader w:val="true"/>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Data Type</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Action ID</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Theme</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Decision / Action</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Owner</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Due Date</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Priority</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Status</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Evidence / Notes</w:t>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Example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EX-BCMS-MR-001</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BIA</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Approve revised impact time bands for enterprise BIA rollout.</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Business Continuity Manager</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2026-10-31</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High</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In Progress</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Example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EX-BCMS-MR-002</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Technology</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Complete capacity evidence for the alternate recovery environment supporting a prioritized service.</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IT Resilience Lead</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2026-11-15</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High</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Open</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Example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EX-BCMS-MR-003</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Supplier</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Obtain continuity evidence and fallback decision for one critical single-source supplier.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Supply Chain Director</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2026-12-15</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Medium</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Open</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Example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EX-BCMS-MR-004</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Exercise</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Schedule cross-functional exercise covering loss of primary technology platform.</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Exercise Coordinator</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2027-02-15</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Medium</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Not Started</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Example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EX-BCMS-MR-005</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Document Control</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Close plan review backlog and verify alternate access for selected critical plans.</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BCMS Documentation Owner</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2026-09-30</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Low</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Closed</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Actual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Actual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r>
      <w:tr>
        <w:trPr>
          <w:cantSplit/>
        </w:trPr>
        <w:tc>
          <w:tcPr>
            <w:tcW w:type="dxa" w:w="96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Actual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r>
    </w:tbl>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The first 5 action rows are Illustrative Data. Actual management-review actions must be based on the meeting’s approved decisions and retained evidence.</w:t>
            </w:r>
          </w:p>
        </w:tc>
      </w:tr>
    </w:tbl>
    <w:p>
      <w:pPr>
        <w:spacing w:after="20"/>
      </w:pPr>
    </w:p>
    <w:p>
      <w:pPr>
        <w:pStyle w:val="Heading1"/>
        <w:keepNext/>
        <w:spacing w:before="120" w:after="60" w:line="252" w:lineRule="auto"/>
      </w:pPr>
      <w:r>
        <w:rPr>
          <w:rFonts w:ascii="Cambria" w:hAnsi="Cambria" w:eastAsia="Cambria"/>
          <w:b/>
          <w:color w:val="1F4E79"/>
          <w:sz w:val="24"/>
        </w:rPr>
        <w:t>7. Records</w:t>
      </w:r>
    </w:p>
    <w:p>
      <w:pPr>
        <w:pStyle w:val="ListBullet"/>
        <w:spacing w:before="0" w:after="50" w:line="252" w:lineRule="auto"/>
      </w:pPr>
      <w:r>
        <w:rPr>
          <w:rFonts w:ascii="Cambria" w:hAnsi="Cambria" w:eastAsia="Cambria"/>
          <w:sz w:val="20"/>
        </w:rPr>
        <w:t>Management review agenda and pre-read</w:t>
      </w:r>
    </w:p>
    <w:p>
      <w:pPr>
        <w:pStyle w:val="ListBullet"/>
        <w:spacing w:before="0" w:after="50" w:line="252" w:lineRule="auto"/>
      </w:pPr>
      <w:r>
        <w:rPr>
          <w:rFonts w:ascii="Cambria" w:hAnsi="Cambria" w:eastAsia="Cambria"/>
          <w:sz w:val="20"/>
        </w:rPr>
        <w:t>Attendance / participation record</w:t>
      </w:r>
    </w:p>
    <w:p>
      <w:pPr>
        <w:pStyle w:val="ListBullet"/>
        <w:spacing w:before="0" w:after="50" w:line="252" w:lineRule="auto"/>
      </w:pPr>
      <w:r>
        <w:rPr>
          <w:rFonts w:ascii="Cambria" w:hAnsi="Cambria" w:eastAsia="Cambria"/>
          <w:sz w:val="20"/>
        </w:rPr>
        <w:t>Approved minutes and decisions</w:t>
      </w:r>
    </w:p>
    <w:p>
      <w:pPr>
        <w:pStyle w:val="ListBullet"/>
        <w:spacing w:before="0" w:after="50" w:line="252" w:lineRule="auto"/>
      </w:pPr>
      <w:r>
        <w:rPr>
          <w:rFonts w:ascii="Cambria" w:hAnsi="Cambria" w:eastAsia="Cambria"/>
          <w:sz w:val="20"/>
        </w:rPr>
        <w:t>Action tracker and closure evidence</w:t>
      </w:r>
    </w:p>
    <w:p>
      <w:pPr>
        <w:pStyle w:val="ListBullet"/>
        <w:spacing w:before="0" w:after="50" w:line="252" w:lineRule="auto"/>
      </w:pPr>
      <w:r>
        <w:rPr>
          <w:rFonts w:ascii="Cambria" w:hAnsi="Cambria" w:eastAsia="Cambria"/>
          <w:sz w:val="20"/>
        </w:rPr>
        <w:t>Supporting KPI, audit, exercise, incident and capability reports</w:t>
      </w:r>
    </w:p>
    <w:p>
      <w:pPr>
        <w:pStyle w:val="Heading1"/>
        <w:keepNext/>
        <w:spacing w:before="120" w:after="60" w:line="252" w:lineRule="auto"/>
      </w:pPr>
      <w:r>
        <w:rPr>
          <w:rFonts w:ascii="Cambria" w:hAnsi="Cambria" w:eastAsia="Cambria"/>
          <w:b/>
          <w:color w:val="1F4E79"/>
          <w:sz w:val="24"/>
        </w:rPr>
        <w:t>References</w:t>
      </w:r>
    </w:p>
    <w:p>
      <w:pPr>
        <w:pStyle w:val="ListBullet"/>
        <w:spacing w:before="0" w:after="50" w:line="252" w:lineRule="auto"/>
      </w:pPr>
      <w:r>
        <w:rPr>
          <w:rFonts w:ascii="Cambria" w:hAnsi="Cambria" w:eastAsia="Cambria"/>
          <w:sz w:val="20"/>
        </w:rPr>
        <w:t>ISO 22301:2019 — Security and resilience — Business continuity management systems — Requirements.</w:t>
      </w:r>
    </w:p>
    <w:p>
      <w:pPr>
        <w:pStyle w:val="ListBullet"/>
        <w:spacing w:before="0" w:after="50" w:line="252" w:lineRule="auto"/>
      </w:pPr>
      <w:r>
        <w:rPr>
          <w:rFonts w:ascii="Cambria" w:hAnsi="Cambria" w:eastAsia="Cambria"/>
          <w:sz w:val="20"/>
        </w:rPr>
        <w:t>ISO 22301:2019/Amd 1:2024 — Climate action changes.</w:t>
      </w:r>
    </w:p>
    <w:p>
      <w:pPr>
        <w:pStyle w:val="ListBullet"/>
        <w:spacing w:before="0" w:after="50" w:line="252" w:lineRule="auto"/>
      </w:pPr>
      <w:r>
        <w:rPr>
          <w:rFonts w:ascii="Cambria" w:hAnsi="Cambria" w:eastAsia="Cambria"/>
          <w:sz w:val="20"/>
        </w:rPr>
        <w:t>ISO 22313:2020 — Security and resilience — Business continuity management systems — Guidance on the use of ISO 22301.</w:t>
      </w:r>
    </w:p>
    <w:p>
      <w:pPr>
        <w:pStyle w:val="ListBullet"/>
        <w:spacing w:before="0" w:after="50" w:line="252" w:lineRule="auto"/>
      </w:pPr>
      <w:r>
        <w:rPr>
          <w:rFonts w:ascii="Cambria" w:hAnsi="Cambria" w:eastAsia="Cambria"/>
          <w:sz w:val="20"/>
        </w:rPr>
        <w:t>Controlled organization-specific BCMS policies, BIA records, risk assessments, continuity strategies, plans, exercise records, audit records and improvement actions.</w:t>
      </w:r>
    </w:p>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Business Continuity Manager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Business Continuity Management Review Procedure</w:t>
          </w:r>
        </w:p>
      </w:tc>
      <w:tc>
        <w:tcPr>
          <w:tcW w:type="dxa" w:w="2324"/>
          <w:tcMar>
            <w:top w:w="20" w:type="dxa"/>
            <w:left w:w="40" w:type="dxa"/>
            <w:bottom w:w="20" w:type="dxa"/>
            <w:right w:w="40" w:type="dxa"/>
          </w:tcMar>
        </w:tcPr>
        <w:p>
          <w:pPr>
            <w:jc w:val="right"/>
          </w:pPr>
          <w:r>
            <w:rPr>
              <w:rFonts w:ascii="Cambria" w:hAnsi="Cambria" w:eastAsia="Cambria"/>
              <w:b/>
              <w:color w:val="666666"/>
              <w:sz w:val="16"/>
            </w:rPr>
            <w:t>BCMS-PRO-003</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dcterms:created xsi:type="dcterms:W3CDTF">2013-12-23T23:15:00Z</dcterms:created>
  <dcterms:modified xsi:type="dcterms:W3CDTF">2013-12-23T23:15:00Z</dcterms:modified>
  <cp:category/>
</cp:coreProperties>
</file>