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440" w:after="200"/>
        <w:jc w:val="center"/>
      </w:pPr>
      <w:r>
        <w:rPr>
          <w:rFonts w:ascii="Cambria" w:hAnsi="Cambria" w:eastAsia="Cambria"/>
          <w:b/>
          <w:color w:val="1F4E79"/>
          <w:sz w:val="44"/>
        </w:rPr>
        <w:t>BUSINESS CONTINUITY MANAGEMENT MANUAL</w:t>
      </w:r>
    </w:p>
    <w:p>
      <w:pPr>
        <w:spacing w:after="320"/>
        <w:jc w:val="center"/>
      </w:pPr>
      <w:r>
        <w:rPr>
          <w:rFonts w:ascii="Cambria" w:hAnsi="Cambria" w:eastAsia="Cambria"/>
          <w:b/>
          <w:color w:val="000000"/>
          <w:sz w:val="24"/>
        </w:rPr>
        <w:t>ISO 22301:2019 + Amd 1:2024</w:t>
      </w:r>
    </w:p>
    <w:p>
      <w:pPr>
        <w:spacing w:after="360"/>
        <w:jc w:val="center"/>
      </w:pPr>
      <w:r>
        <w:rPr>
          <w:rFonts w:ascii="Cambria" w:hAnsi="Cambria" w:eastAsia="Cambria"/>
          <w:i/>
          <w:color w:val="666666"/>
          <w:sz w:val="22"/>
        </w:rPr>
        <w:t>Business Continuity Management System Manual</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Business Continuity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Replace organization-specific placeholders, BCMS scope and role titles before controlled release. The manual describes the management-system framework; supporting procedures and records provide operational detail.</w:t>
            </w:r>
          </w:p>
        </w:tc>
      </w:tr>
    </w:tbl>
    <w:p>
      <w:pPr>
        <w:spacing w:after="2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Define the organization-level framework for establishing, implementing, operating, monitoring, reviewing, maintaining and continually improving the Business Continuity Management System (BCMS).</w:t>
      </w:r>
    </w:p>
    <w:p>
      <w:pPr>
        <w:pStyle w:val="Heading1"/>
        <w:keepNext/>
        <w:spacing w:before="120" w:after="60" w:line="252" w:lineRule="auto"/>
      </w:pPr>
      <w:r>
        <w:rPr>
          <w:rFonts w:ascii="Cambria" w:hAnsi="Cambria" w:eastAsia="Cambria"/>
          <w:b/>
          <w:color w:val="1F4E79"/>
          <w:sz w:val="24"/>
        </w:rPr>
        <w:t>2. BCMS Scope</w:t>
      </w:r>
    </w:p>
    <w:p>
      <w:pPr>
        <w:spacing w:before="0" w:after="80" w:line="252" w:lineRule="auto"/>
      </w:pPr>
      <w:r>
        <w:rPr>
          <w:rFonts w:ascii="Cambria" w:hAnsi="Cambria" w:eastAsia="Cambria"/>
          <w:i w:val="0"/>
          <w:sz w:val="20"/>
        </w:rPr>
        <w:t>BCMS scope: [DEFINE ORGANIZATION / LEGAL ENTITIES / SITES / PRODUCTS / SERVICES / FUNCTIONS / BOUNDARIES]. The scope should consider internal/external dependencies and interfaces that can affect continuity outcomes, even where those dependencies are not directly controlled by the organization.</w:t>
      </w:r>
    </w:p>
    <w:p>
      <w:pPr>
        <w:pStyle w:val="Heading1"/>
        <w:keepNext/>
        <w:spacing w:before="120" w:after="60" w:line="252" w:lineRule="auto"/>
      </w:pPr>
      <w:r>
        <w:rPr>
          <w:rFonts w:ascii="Cambria" w:hAnsi="Cambria" w:eastAsia="Cambria"/>
          <w:b/>
          <w:color w:val="1F4E79"/>
          <w:sz w:val="24"/>
        </w:rPr>
        <w:t>3. Organization Context and Interested Parties</w:t>
      </w:r>
    </w:p>
    <w:p>
      <w:pPr>
        <w:spacing w:before="0" w:after="80" w:line="252" w:lineRule="auto"/>
      </w:pPr>
      <w:r>
        <w:rPr>
          <w:rFonts w:ascii="Cambria" w:hAnsi="Cambria" w:eastAsia="Cambria"/>
          <w:i w:val="0"/>
          <w:sz w:val="20"/>
        </w:rPr>
        <w:t>The organization reviews internal and external issues that can affect continuity needs and BCMS outcomes, including strategic change, operating model, technology dependency, supply-chain concentration, workforce arrangements, locations, threat environment, regulatory/contractual expectations and relevant climate-related conditions. Relevant interested-party requirements are identified, reviewed and reflected in BCMS planning where applicable.</w:t>
      </w:r>
    </w:p>
    <w:p>
      <w:pPr>
        <w:pStyle w:val="Heading1"/>
        <w:keepNext/>
        <w:spacing w:before="120" w:after="60" w:line="252" w:lineRule="auto"/>
      </w:pPr>
      <w:r>
        <w:rPr>
          <w:rFonts w:ascii="Cambria" w:hAnsi="Cambria" w:eastAsia="Cambria"/>
          <w:b/>
          <w:color w:val="1F4E79"/>
          <w:sz w:val="24"/>
        </w:rPr>
        <w:t>4. BCMS Governance and Leadership</w:t>
      </w:r>
    </w:p>
    <w:tbl>
      <w:tblPr>
        <w:tblW w:type="auto" w:w="0"/>
        <w:jc w:val="center"/>
        <w:tblLayout w:type="fixed"/>
        <w:tblLook w:val="04A0"/>
      </w:tblPr>
      <w:tblGrid>
        <w:gridCol w:w="4677"/>
        <w:gridCol w:w="4677"/>
      </w:tblGrid>
      <w:tr>
        <w:trPr>
          <w:tblHeader w:val="true"/>
        </w:trPr>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1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BCMS accountability</w:t>
            </w:r>
          </w:p>
        </w:tc>
      </w:tr>
      <w:tr>
        <w:trPr>
          <w:cantSplit/>
        </w:trPr>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Management</w:t>
            </w:r>
          </w:p>
        </w:tc>
        <w:tc>
          <w:tcPr>
            <w:tcW w:type="dxa" w:w="61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Set policy and direction, ensure integration, approve resources, review performance and make material risk/capability decisions.</w:t>
            </w:r>
          </w:p>
        </w:tc>
      </w:tr>
      <w:tr>
        <w:trPr>
          <w:cantSplit/>
        </w:trPr>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BCMS Owner / Business Continuity Manager</w:t>
            </w:r>
          </w:p>
        </w:tc>
        <w:tc>
          <w:tcPr>
            <w:tcW w:type="dxa" w:w="61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the BCMS framework, methods, coordination, records, assurance and improvement.</w:t>
            </w:r>
          </w:p>
        </w:tc>
      </w:tr>
      <w:tr>
        <w:trPr>
          <w:cantSplit/>
        </w:trPr>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Business / Process Owners</w:t>
            </w:r>
          </w:p>
        </w:tc>
        <w:tc>
          <w:tcPr>
            <w:tcW w:type="dxa" w:w="61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Own BIA data, recovery priorities, strategies, plans and evidence for their activities.</w:t>
            </w:r>
          </w:p>
        </w:tc>
      </w:tr>
      <w:tr>
        <w:trPr>
          <w:cantSplit/>
        </w:trPr>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 Functions</w:t>
            </w:r>
          </w:p>
        </w:tc>
        <w:tc>
          <w:tcPr>
            <w:tcW w:type="dxa" w:w="61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people, technology, facilities, supplier, security, communication and other continuity capabilities.</w:t>
            </w:r>
          </w:p>
        </w:tc>
      </w:tr>
      <w:tr>
        <w:trPr>
          <w:cantSplit/>
        </w:trPr>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Plan / Response Teams</w:t>
            </w:r>
          </w:p>
        </w:tc>
        <w:tc>
          <w:tcPr>
            <w:tcW w:type="dxa" w:w="61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readiness and perform assigned disruption-response and continuity activities.</w:t>
            </w:r>
          </w:p>
        </w:tc>
      </w:tr>
      <w:tr>
        <w:trPr>
          <w:cantSplit/>
        </w:trPr>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Audit</w:t>
            </w:r>
          </w:p>
        </w:tc>
        <w:tc>
          <w:tcPr>
            <w:tcW w:type="dxa" w:w="61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independent/objective assurance over BCMS conformity and effectiveness.</w:t>
            </w:r>
          </w:p>
        </w:tc>
      </w:tr>
    </w:tbl>
    <w:p>
      <w:pPr>
        <w:pStyle w:val="Heading1"/>
        <w:keepNext/>
        <w:spacing w:before="120" w:after="60" w:line="252" w:lineRule="auto"/>
      </w:pPr>
      <w:r>
        <w:rPr>
          <w:rFonts w:ascii="Cambria" w:hAnsi="Cambria" w:eastAsia="Cambria"/>
          <w:b/>
          <w:color w:val="1F4E79"/>
          <w:sz w:val="24"/>
        </w:rPr>
        <w:t>5. Business Continuity Policy and Objectives</w:t>
      </w:r>
    </w:p>
    <w:p>
      <w:pPr>
        <w:spacing w:before="0" w:after="80" w:line="252" w:lineRule="auto"/>
      </w:pPr>
      <w:r>
        <w:rPr>
          <w:rFonts w:ascii="Cambria" w:hAnsi="Cambria" w:eastAsia="Cambria"/>
          <w:i w:val="0"/>
          <w:sz w:val="20"/>
        </w:rPr>
        <w:t>The business continuity policy establishes commitments appropriate to the organization’s purpose, continuity needs and BCMS scope. Objectives and indicators translate policy commitments into measurable priorities such as BIA coverage, strategy readiness, exercise completion/effectiveness, action closure, plan currency, supplier/technology readiness and training/competence.</w:t>
      </w:r>
    </w:p>
    <w:p>
      <w:pPr>
        <w:pStyle w:val="Heading1"/>
        <w:keepNext/>
        <w:spacing w:before="120" w:after="60" w:line="252" w:lineRule="auto"/>
      </w:pPr>
      <w:r>
        <w:rPr>
          <w:rFonts w:ascii="Cambria" w:hAnsi="Cambria" w:eastAsia="Cambria"/>
          <w:b/>
          <w:color w:val="1F4E79"/>
          <w:sz w:val="24"/>
        </w:rPr>
        <w:t>6. Planning and Risk-Based Management</w:t>
      </w:r>
    </w:p>
    <w:p>
      <w:pPr>
        <w:spacing w:before="0" w:after="80" w:line="252" w:lineRule="auto"/>
      </w:pPr>
      <w:r>
        <w:rPr>
          <w:rFonts w:ascii="Cambria" w:hAnsi="Cambria" w:eastAsia="Cambria"/>
          <w:i w:val="0"/>
          <w:sz w:val="20"/>
        </w:rPr>
        <w:t>BCMS planning addresses risks and opportunities affecting intended outcomes. The organization defines actions, responsibilities, resources and evaluation methods for material BCMS risks/opportunities and changes. Business continuity analysis includes both business impact analysis and risk assessment, with methods controlled and periodically reviewed.</w:t>
      </w:r>
    </w:p>
    <w:p>
      <w:pPr>
        <w:pStyle w:val="Heading1"/>
        <w:keepNext/>
        <w:spacing w:before="120" w:after="60" w:line="252" w:lineRule="auto"/>
      </w:pPr>
      <w:r>
        <w:rPr>
          <w:rFonts w:ascii="Cambria" w:hAnsi="Cambria" w:eastAsia="Cambria"/>
          <w:b/>
          <w:color w:val="1F4E79"/>
          <w:sz w:val="24"/>
        </w:rPr>
        <w:t>7. Business Impact Analysis</w:t>
      </w:r>
    </w:p>
    <w:p>
      <w:pPr>
        <w:spacing w:before="0" w:after="80" w:line="252" w:lineRule="auto"/>
      </w:pPr>
      <w:r>
        <w:rPr>
          <w:rFonts w:ascii="Cambria" w:hAnsi="Cambria" w:eastAsia="Cambria"/>
          <w:i w:val="0"/>
          <w:sz w:val="20"/>
        </w:rPr>
        <w:t>The BIA identifies activities supporting in-scope products/services, evaluates impacts over time, determines prioritization, defines recovery priorities and minimum acceptable capacity, and identifies resource/dependency requirements. Business owners validate BIA results and significant changes trigger review.</w:t>
      </w:r>
    </w:p>
    <w:tbl>
      <w:tblPr>
        <w:tblW w:type="auto" w:w="0"/>
        <w:jc w:val="center"/>
        <w:tblLayout w:type="fixed"/>
        <w:tblLook w:val="04A0"/>
      </w:tblPr>
      <w:tblGrid>
        <w:gridCol w:w="4677"/>
        <w:gridCol w:w="4677"/>
      </w:tblGrid>
      <w:tr>
        <w:trPr>
          <w:tblHeader w:val="true"/>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BIA output</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Management use</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Prioritized activities</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Focus continuity strategies, resources, exercises and management attention.</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Impact/tolerance information</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 time-based recovery priorities and escalation decisions.</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Resource requirements</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 people, technology, information, facilities, supplier and logistics needs over recovery stages.</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Dependencies</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Identify critical internal/external linkages, concentration and single points of failure.</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Recovery priorities</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Guide sequencing and minimum acceptable delivery capability during disruption.</w:t>
            </w:r>
          </w:p>
        </w:tc>
      </w:tr>
    </w:tbl>
    <w:p>
      <w:pPr>
        <w:pStyle w:val="Heading1"/>
        <w:keepNext/>
        <w:spacing w:before="120" w:after="60" w:line="252" w:lineRule="auto"/>
      </w:pPr>
      <w:r>
        <w:rPr>
          <w:rFonts w:ascii="Cambria" w:hAnsi="Cambria" w:eastAsia="Cambria"/>
          <w:b/>
          <w:color w:val="1F4E79"/>
          <w:sz w:val="24"/>
        </w:rPr>
        <w:t>8. Disruption Risk Assessment</w:t>
      </w:r>
    </w:p>
    <w:p>
      <w:pPr>
        <w:spacing w:before="0" w:after="80" w:line="252" w:lineRule="auto"/>
      </w:pPr>
      <w:r>
        <w:rPr>
          <w:rFonts w:ascii="Cambria" w:hAnsi="Cambria" w:eastAsia="Cambria"/>
          <w:i w:val="0"/>
          <w:sz w:val="20"/>
        </w:rPr>
        <w:t>The risk assessment identifies and evaluates threats, vulnerabilities and disruption scenarios that could affect prioritized activities and dependencies. Treatment decisions are coordinated with enterprise risk, security, technology, facilities, supplier and other relevant processes. The BCMS does not rely solely on risk reduction because continuity capability is required for credible residual disruptions.</w:t>
      </w:r>
    </w:p>
    <w:p>
      <w:pPr>
        <w:pStyle w:val="Heading1"/>
        <w:keepNext/>
        <w:spacing w:before="120" w:after="60" w:line="252" w:lineRule="auto"/>
      </w:pPr>
      <w:r>
        <w:rPr>
          <w:rFonts w:ascii="Cambria" w:hAnsi="Cambria" w:eastAsia="Cambria"/>
          <w:b/>
          <w:color w:val="1F4E79"/>
          <w:sz w:val="24"/>
        </w:rPr>
        <w:t>9. Business Continuity Strategies and Solutions</w:t>
      </w:r>
    </w:p>
    <w:p>
      <w:pPr>
        <w:spacing w:before="0" w:after="80" w:line="252" w:lineRule="auto"/>
      </w:pPr>
      <w:r>
        <w:rPr>
          <w:rFonts w:ascii="Cambria" w:hAnsi="Cambria" w:eastAsia="Cambria"/>
          <w:i w:val="0"/>
          <w:sz w:val="20"/>
        </w:rPr>
        <w:t>The organization evaluates and selects strategies and solutions capable of meeting approved recovery priorities. Strategy decisions consider feasibility, capacity, lead time, cost, people, premises, technology, data/information, suppliers, communications, transportation, utilities and other dependencies. Material assumptions and constraints are documented and approved.</w:t>
      </w:r>
    </w:p>
    <w:p>
      <w:pPr>
        <w:pStyle w:val="Heading1"/>
        <w:keepNext/>
        <w:spacing w:before="120" w:after="60" w:line="252" w:lineRule="auto"/>
      </w:pPr>
      <w:r>
        <w:rPr>
          <w:rFonts w:ascii="Cambria" w:hAnsi="Cambria" w:eastAsia="Cambria"/>
          <w:b/>
          <w:color w:val="1F4E79"/>
          <w:sz w:val="24"/>
        </w:rPr>
        <w:t>10. Business Continuity Plans and Procedures</w:t>
      </w:r>
    </w:p>
    <w:p>
      <w:pPr>
        <w:spacing w:before="0" w:after="80" w:line="252" w:lineRule="auto"/>
      </w:pPr>
      <w:r>
        <w:rPr>
          <w:rFonts w:ascii="Cambria" w:hAnsi="Cambria" w:eastAsia="Cambria"/>
          <w:i w:val="0"/>
          <w:sz w:val="20"/>
        </w:rPr>
        <w:t>Controlled plans/procedures define activation, roles, command/coordination, information requirements, communications, continuity actions, resource mobilization, dependency management, escalation and return-to-normal arrangements. Plans are accessible to intended users under disruption conditions and aligned with related emergency, crisis and technology-recovery arrangements.</w:t>
      </w:r>
    </w:p>
    <w:p>
      <w:pPr>
        <w:pStyle w:val="Heading1"/>
        <w:keepNext/>
        <w:spacing w:before="120" w:after="60" w:line="252" w:lineRule="auto"/>
      </w:pPr>
      <w:r>
        <w:rPr>
          <w:rFonts w:ascii="Cambria" w:hAnsi="Cambria" w:eastAsia="Cambria"/>
          <w:b/>
          <w:color w:val="1F4E79"/>
          <w:sz w:val="24"/>
        </w:rPr>
        <w:t>11. Exercise Programme and Capability Evaluation</w:t>
      </w:r>
    </w:p>
    <w:p>
      <w:pPr>
        <w:spacing w:before="0" w:after="80" w:line="252" w:lineRule="auto"/>
      </w:pPr>
      <w:r>
        <w:rPr>
          <w:rFonts w:ascii="Cambria" w:hAnsi="Cambria" w:eastAsia="Cambria"/>
          <w:i w:val="0"/>
          <w:sz w:val="20"/>
        </w:rPr>
        <w:t>A planned exercise programme progressively validates teams, plans, strategies, communications, dependencies and recovery capability. Exercises have defined objectives and evaluation criteria. Results are recorded, actions assigned and material weaknesses re-tested or otherwise verified. The organization periodically evaluates the suitability and effectiveness of continuity documentation and solutions.</w:t>
      </w:r>
    </w:p>
    <w:p>
      <w:pPr>
        <w:pStyle w:val="Heading1"/>
        <w:keepNext/>
        <w:spacing w:before="120" w:after="60" w:line="252" w:lineRule="auto"/>
      </w:pPr>
      <w:r>
        <w:rPr>
          <w:rFonts w:ascii="Cambria" w:hAnsi="Cambria" w:eastAsia="Cambria"/>
          <w:b/>
          <w:color w:val="1F4E79"/>
          <w:sz w:val="24"/>
        </w:rPr>
        <w:t>12. Support Processes</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Support area</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BCMS control</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Resources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people, facilities, technology, information and budget proportionate to approved continuity needs.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Competence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 competence for BCMS, plan, response and recovery roles; retain evidence.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Awareness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Ensure relevant personnel understand policy, responsibilities, disruption arrangements and reporting/escalation routes.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Communication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internal/external disruption communication arrangements, approval routes and contact information.</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Documented information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 creation, approval, access, change, protection, retention and availability of BCMS documents/records.</w:t>
            </w:r>
          </w:p>
        </w:tc>
      </w:tr>
    </w:tbl>
    <w:p>
      <w:pPr>
        <w:pStyle w:val="Heading1"/>
        <w:keepNext/>
        <w:spacing w:before="120" w:after="60" w:line="252" w:lineRule="auto"/>
      </w:pPr>
      <w:r>
        <w:rPr>
          <w:rFonts w:ascii="Cambria" w:hAnsi="Cambria" w:eastAsia="Cambria"/>
          <w:b/>
          <w:color w:val="1F4E79"/>
          <w:sz w:val="24"/>
        </w:rPr>
        <w:t>13. Performance Evaluation</w:t>
      </w:r>
    </w:p>
    <w:p>
      <w:pPr>
        <w:spacing w:before="0" w:after="80" w:line="252" w:lineRule="auto"/>
      </w:pPr>
      <w:r>
        <w:rPr>
          <w:rFonts w:ascii="Cambria" w:hAnsi="Cambria" w:eastAsia="Cambria"/>
          <w:i w:val="0"/>
          <w:sz w:val="20"/>
        </w:rPr>
        <w:t>The organization monitors BCMS performance, evaluates capability, conducts internal audits and performs management review. Indicators are selected to support decisions rather than reward activity volume. Assurance considers BIA currency, plan readiness, exercise results, action closure, supplier/technology capability, incident lessons and recurring weaknesses.</w:t>
      </w:r>
    </w:p>
    <w:p>
      <w:pPr>
        <w:pStyle w:val="Heading1"/>
        <w:keepNext/>
        <w:spacing w:before="120" w:after="60" w:line="252" w:lineRule="auto"/>
      </w:pPr>
      <w:r>
        <w:rPr>
          <w:rFonts w:ascii="Cambria" w:hAnsi="Cambria" w:eastAsia="Cambria"/>
          <w:b/>
          <w:color w:val="1F4E79"/>
          <w:sz w:val="24"/>
        </w:rPr>
        <w:t>14. Nonconformity, Corrective Action and Improvement</w:t>
      </w:r>
    </w:p>
    <w:p>
      <w:pPr>
        <w:spacing w:before="0" w:after="80" w:line="252" w:lineRule="auto"/>
      </w:pPr>
      <w:r>
        <w:rPr>
          <w:rFonts w:ascii="Cambria" w:hAnsi="Cambria" w:eastAsia="Cambria"/>
          <w:i w:val="0"/>
          <w:sz w:val="20"/>
        </w:rPr>
        <w:t>BCMS nonconformities, exercise weaknesses and relevant disruption lessons are corrected and analyzed for systemic cause where appropriate. Actions are proportionate to continuity impact and verified for effectiveness before closure when the underlying capability is material. Continual improvement uses performance evidence, changes, incidents, exercises, audits and management decisions.</w:t>
      </w:r>
    </w:p>
    <w:p>
      <w:pPr>
        <w:pStyle w:val="Heading1"/>
        <w:keepNext/>
        <w:spacing w:before="120" w:after="60" w:line="252" w:lineRule="auto"/>
      </w:pPr>
      <w:r>
        <w:rPr>
          <w:rFonts w:ascii="Cambria" w:hAnsi="Cambria" w:eastAsia="Cambria"/>
          <w:b/>
          <w:color w:val="1F4E79"/>
          <w:sz w:val="24"/>
        </w:rPr>
        <w:t>15. Document Architecture</w:t>
      </w:r>
    </w:p>
    <w:tbl>
      <w:tblPr>
        <w:tblW w:type="auto" w:w="0"/>
        <w:jc w:val="center"/>
        <w:tblLayout w:type="fixed"/>
        <w:tblLook w:val="04A0"/>
      </w:tblPr>
      <w:tblGrid>
        <w:gridCol w:w="4677"/>
        <w:gridCol w:w="4677"/>
      </w:tblGrid>
      <w:tr>
        <w:trPr>
          <w:tblHeader w:val="true"/>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Document layer</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Examples</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Policy / Manual</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Business Continuity Policy; BCMS Manual.</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Methods / Procedures</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BIA method; risk assessment; exercise process; audit; documented-information controls.</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Operational Plans</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Business continuity plans, communication plans, contact/activation arrangements, technology/facility/supplier recovery plans.</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Registers / Records</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BIA records, risk register, strategy decisions, exercise results, audit findings, action tracker, management review minutes.</w:t>
            </w:r>
          </w:p>
        </w:tc>
      </w:tr>
    </w:tbl>
    <w:p>
      <w:pPr>
        <w:pStyle w:val="Heading1"/>
        <w:keepNext/>
        <w:spacing w:before="120" w:after="60" w:line="252" w:lineRule="auto"/>
      </w:pPr>
      <w:r>
        <w:rPr>
          <w:rFonts w:ascii="Cambria" w:hAnsi="Cambria" w:eastAsia="Cambria"/>
          <w:b/>
          <w:color w:val="1F4E79"/>
          <w:sz w:val="24"/>
        </w:rPr>
        <w:t>References</w:t>
      </w:r>
    </w:p>
    <w:p>
      <w:pPr>
        <w:pStyle w:val="ListBullet"/>
        <w:spacing w:before="0" w:after="50" w:line="252" w:lineRule="auto"/>
      </w:pPr>
      <w:r>
        <w:rPr>
          <w:rFonts w:ascii="Cambria" w:hAnsi="Cambria" w:eastAsia="Cambria"/>
          <w:sz w:val="20"/>
        </w:rPr>
        <w:t>ISO 22301:2019 — Security and resilience — Business continuity management systems — Requirements.</w:t>
      </w:r>
    </w:p>
    <w:p>
      <w:pPr>
        <w:pStyle w:val="ListBullet"/>
        <w:spacing w:before="0" w:after="50" w:line="252" w:lineRule="auto"/>
      </w:pPr>
      <w:r>
        <w:rPr>
          <w:rFonts w:ascii="Cambria" w:hAnsi="Cambria" w:eastAsia="Cambria"/>
          <w:sz w:val="20"/>
        </w:rPr>
        <w:t>ISO 22301:2019/Amd 1:2024 — Climate action changes.</w:t>
      </w:r>
    </w:p>
    <w:p>
      <w:pPr>
        <w:pStyle w:val="ListBullet"/>
        <w:spacing w:before="0" w:after="50" w:line="252" w:lineRule="auto"/>
      </w:pPr>
      <w:r>
        <w:rPr>
          <w:rFonts w:ascii="Cambria" w:hAnsi="Cambria" w:eastAsia="Cambria"/>
          <w:sz w:val="20"/>
        </w:rPr>
        <w:t>ISO 22313:2020 — Security and resilience — Business continuity management systems — Guidance on the use of ISO 22301.</w:t>
      </w:r>
    </w:p>
    <w:p>
      <w:pPr>
        <w:pStyle w:val="ListBullet"/>
        <w:spacing w:before="0" w:after="50" w:line="252" w:lineRule="auto"/>
      </w:pPr>
      <w:r>
        <w:rPr>
          <w:rFonts w:ascii="Cambria" w:hAnsi="Cambria" w:eastAsia="Cambria"/>
          <w:sz w:val="20"/>
        </w:rPr>
        <w:t>Controlled organization-specific BCMS policies, BIA records, risk assessments, strategies, plans, exercise records, audit records and improvement actions.</w:t>
      </w:r>
    </w:p>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Business Continuity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Business Continuity Management Manual</w:t>
          </w:r>
        </w:p>
      </w:tc>
      <w:tc>
        <w:tcPr>
          <w:tcW w:type="dxa" w:w="2324"/>
          <w:tcMar>
            <w:top w:w="20" w:type="dxa"/>
            <w:left w:w="40" w:type="dxa"/>
            <w:bottom w:w="20" w:type="dxa"/>
            <w:right w:w="40" w:type="dxa"/>
          </w:tcMar>
        </w:tcPr>
        <w:p>
          <w:pPr>
            <w:jc w:val="right"/>
          </w:pPr>
          <w:r>
            <w:rPr>
              <w:rFonts w:ascii="Cambria" w:hAnsi="Cambria" w:eastAsia="Cambria"/>
              <w:b/>
              <w:color w:val="666666"/>
              <w:sz w:val="16"/>
            </w:rPr>
            <w:t>BCMS-MAN-001</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