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440" w:after="200"/>
        <w:jc w:val="center"/>
      </w:pPr>
      <w:r>
        <w:rPr>
          <w:rFonts w:ascii="Cambria" w:hAnsi="Cambria" w:eastAsia="Cambria"/>
          <w:b/>
          <w:color w:val="1F4E79"/>
          <w:sz w:val="44"/>
        </w:rPr>
        <w:t>BUSINESS CONTINUITY IMPLEMENTATION PROJECT PLAN</w:t>
      </w:r>
    </w:p>
    <w:p>
      <w:pPr>
        <w:spacing w:after="320"/>
        <w:jc w:val="center"/>
      </w:pPr>
      <w:r>
        <w:rPr>
          <w:rFonts w:ascii="Cambria" w:hAnsi="Cambria" w:eastAsia="Cambria"/>
          <w:b/>
          <w:color w:val="000000"/>
          <w:sz w:val="24"/>
        </w:rPr>
        <w:t>ISO 22301:2019 + Amd 1:2024</w:t>
      </w:r>
    </w:p>
    <w:p>
      <w:pPr>
        <w:spacing w:after="360"/>
        <w:jc w:val="center"/>
      </w:pPr>
      <w:r>
        <w:rPr>
          <w:rFonts w:ascii="Cambria" w:hAnsi="Cambria" w:eastAsia="Cambria"/>
          <w:i/>
          <w:color w:val="666666"/>
          <w:sz w:val="22"/>
        </w:rPr>
        <w:t>ISO 22301 Business Continuity Management System Implementation Plan</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Business Continuity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Replace organization-specific scope, dates, owners and critical-product/service assumptions before controlled release. Certification is optional unless separately approved as a project objective.</w:t>
            </w:r>
          </w:p>
        </w:tc>
      </w:tr>
    </w:tbl>
    <w:p>
      <w:pPr>
        <w:spacing w:after="20"/>
      </w:pPr>
    </w:p>
    <w:p>
      <w:pPr>
        <w:pStyle w:val="Heading1"/>
        <w:keepNext/>
        <w:spacing w:before="120" w:after="60" w:line="252" w:lineRule="auto"/>
      </w:pPr>
      <w:r>
        <w:rPr>
          <w:rFonts w:ascii="Cambria" w:hAnsi="Cambria" w:eastAsia="Cambria"/>
          <w:b/>
          <w:color w:val="1F4E79"/>
          <w:sz w:val="24"/>
        </w:rPr>
        <w:t>1. Project Purpose and Outcomes</w:t>
      </w:r>
    </w:p>
    <w:p>
      <w:pPr>
        <w:spacing w:before="0" w:after="80" w:line="252" w:lineRule="auto"/>
      </w:pPr>
      <w:r>
        <w:rPr>
          <w:rFonts w:ascii="Cambria" w:hAnsi="Cambria" w:eastAsia="Cambria"/>
          <w:i w:val="0"/>
          <w:sz w:val="20"/>
        </w:rPr>
        <w:t>Establish, implement and transition an effective Business Continuity Management System (BCMS) aligned with ISO 22301:2019 and its 2024 climate-action amendment, integrated with existing governance, risk, crisis, IT, facilities, supply-chain and operational processes.</w:t>
      </w:r>
    </w:p>
    <w:tbl>
      <w:tblPr>
        <w:tblW w:type="auto" w:w="0"/>
        <w:jc w:val="center"/>
        <w:tblLayout w:type="fixed"/>
        <w:tblLook w:val="04A0"/>
      </w:tblPr>
      <w:tblGrid>
        <w:gridCol w:w="4677"/>
        <w:gridCol w:w="4677"/>
      </w:tblGrid>
      <w:tr>
        <w:trPr>
          <w:tblHeader w:val="true"/>
        </w:trPr>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Project outcome</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Minimum evidence of completion</w:t>
            </w:r>
          </w:p>
        </w:tc>
      </w:tr>
      <w:tr>
        <w:trPr>
          <w:cantSplit/>
        </w:trPr>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Governance and scope established</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sponsor, governance, BCMS scope, roles and implementation plan.</w:t>
            </w:r>
          </w:p>
        </w:tc>
      </w:tr>
      <w:tr>
        <w:trPr>
          <w:cantSplit/>
        </w:trPr>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continuity priorities understood</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impact analysis (BIA), prioritized activities, impact criteria, recovery priorities and resource dependencies.</w:t>
            </w:r>
          </w:p>
        </w:tc>
      </w:tr>
      <w:tr>
        <w:trPr>
          <w:cantSplit/>
        </w:trPr>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Disruption risks evaluated</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Risk assessment addressing threats to prioritized activities and relevant dependencies.</w:t>
            </w:r>
          </w:p>
        </w:tc>
      </w:tr>
      <w:tr>
        <w:trPr>
          <w:cantSplit/>
        </w:trPr>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Strategies and solutions selected</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continuity strategies / solutions with resource, location, people, technology and supplier considerations.</w:t>
            </w:r>
          </w:p>
        </w:tc>
      </w:tr>
      <w:tr>
        <w:trPr>
          <w:cantSplit/>
        </w:trPr>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Plans and procedures operational</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continuity plans and procedures are approved, accessible and aligned to recovery priorities.</w:t>
            </w:r>
          </w:p>
        </w:tc>
      </w:tr>
      <w:tr>
        <w:trPr>
          <w:cantSplit/>
        </w:trPr>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Capability exercised and evaluated</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Exercise programme, post-exercise actions, capability evaluations and improvement evidence.</w:t>
            </w:r>
          </w:p>
        </w:tc>
      </w:tr>
      <w:tr>
        <w:trPr>
          <w:cantSplit/>
        </w:trPr>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Assurance and leadership review completed</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internal audit, corrective action and management review provide readiness evidence.</w:t>
            </w:r>
          </w:p>
        </w:tc>
      </w:tr>
    </w:tbl>
    <w:p>
      <w:pPr>
        <w:pStyle w:val="Heading1"/>
        <w:keepNext/>
        <w:spacing w:before="120" w:after="60" w:line="252" w:lineRule="auto"/>
      </w:pPr>
      <w:r>
        <w:rPr>
          <w:rFonts w:ascii="Cambria" w:hAnsi="Cambria" w:eastAsia="Cambria"/>
          <w:b/>
          <w:color w:val="1F4E79"/>
          <w:sz w:val="24"/>
        </w:rPr>
        <w:t>2. Scope and Key Assumptions</w:t>
      </w:r>
    </w:p>
    <w:p>
      <w:pPr>
        <w:spacing w:before="0" w:after="80" w:line="252" w:lineRule="auto"/>
      </w:pPr>
      <w:r>
        <w:rPr>
          <w:rFonts w:ascii="Cambria" w:hAnsi="Cambria" w:eastAsia="Cambria"/>
          <w:i w:val="0"/>
          <w:sz w:val="20"/>
        </w:rPr>
        <w:t>Project scope: [ORGANIZATION / ENTITIES / SITES / PRODUCTS / SERVICES / FUNCTIONS]. Identify interfaces with emergency response, crisis management, information technology disaster recovery, cyber incident response, facilities, health and safety, supplier continuity and communications. The BCMS should define what is inside the formal management-system scope and how external dependencies are controlled or influenced.</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Business continuity planning must be based on approved BIA and risk information. Do not set recovery objectives only from historical IT targets or generic benchmarks without business-owner validation.</w:t>
            </w:r>
          </w:p>
        </w:tc>
      </w:tr>
    </w:tbl>
    <w:p>
      <w:pPr>
        <w:spacing w:after="20"/>
      </w:pPr>
    </w:p>
    <w:p>
      <w:pPr>
        <w:pStyle w:val="Heading1"/>
        <w:keepNext/>
        <w:spacing w:before="120" w:after="60" w:line="252" w:lineRule="auto"/>
      </w:pPr>
      <w:r>
        <w:rPr>
          <w:rFonts w:ascii="Cambria" w:hAnsi="Cambria" w:eastAsia="Cambria"/>
          <w:b/>
          <w:color w:val="1F4E79"/>
          <w:sz w:val="24"/>
        </w:rPr>
        <w:t>3. Project Governance</w:t>
      </w:r>
    </w:p>
    <w:tbl>
      <w:tblPr>
        <w:tblW w:type="auto" w:w="0"/>
        <w:jc w:val="center"/>
        <w:tblLayout w:type="fixed"/>
        <w:tblLook w:val="04A0"/>
      </w:tblPr>
      <w:tblGrid>
        <w:gridCol w:w="4677"/>
        <w:gridCol w:w="4677"/>
      </w:tblGrid>
      <w:tr>
        <w:trPr>
          <w:tblHeader w:val="true"/>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Core responsibility</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Project Sponsor / Top Management</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scope, priorities, resources, key strategies and readiness decisions; remove cross-functional barriers.</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Continuity Manager / BCMS Owner</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Own BCMS design, BIA methodology, continuity framework, integration and operational transition.</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Project Manager</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 schedule, dependencies, actions, reporting, decisions and evidence readiness.</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 Process Owners</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Validate impacts, recovery priorities, resource dependencies, continuity solutions and plan practicality.</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IT / Technology Leads</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Align technology recovery capabilities and dependencies with business recovery needs.</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Facilities / Security / HR / Supply Chain / Communications</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Deliver continuity controls for premises, people, suppliers, communications and supporting resources.</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 / Assurance</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suitable independence while preparing to audit the BCMS after meaningful operating evidence exists.</w:t>
            </w:r>
          </w:p>
        </w:tc>
      </w:tr>
    </w:tbl>
    <w:p>
      <w:pPr>
        <w:pStyle w:val="Heading1"/>
        <w:keepNext/>
        <w:spacing w:before="120" w:after="60" w:line="252" w:lineRule="auto"/>
      </w:pPr>
      <w:r>
        <w:rPr>
          <w:rFonts w:ascii="Cambria" w:hAnsi="Cambria" w:eastAsia="Cambria"/>
          <w:b/>
          <w:color w:val="1F4E79"/>
          <w:sz w:val="24"/>
        </w:rPr>
        <w:t>4. Implementation Roadmap</w:t>
      </w:r>
    </w:p>
    <w:tbl>
      <w:tblPr>
        <w:tblW w:type="auto" w:w="0"/>
        <w:jc w:val="center"/>
        <w:tblLayout w:type="fixed"/>
        <w:tblLook w:val="04A0"/>
      </w:tblPr>
      <w:tblGrid>
        <w:gridCol w:w="2339"/>
        <w:gridCol w:w="2339"/>
        <w:gridCol w:w="2339"/>
        <w:gridCol w:w="2339"/>
      </w:tblGrid>
      <w:tr>
        <w:trPr>
          <w:tblHeader w:val="true"/>
        </w:trPr>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Phase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Indicative timing</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Key work</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Primary outputs</w:t>
            </w:r>
          </w:p>
        </w:tc>
      </w:tr>
      <w:tr>
        <w:trPr>
          <w:cantSplit/>
        </w:trPr>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 Mobilize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Weeks 1–4</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Confirm sponsorship, scope, governance, project controls and initial document map.</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Project charter, scope, governance, plan.</w:t>
            </w:r>
          </w:p>
        </w:tc>
      </w:tr>
      <w:tr>
        <w:trPr>
          <w:cantSplit/>
        </w:trPr>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 Context &amp; Baseline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Weeks 3–8</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context, interested parties, climate relevance, legal/contractual continuity expectations and existing capability.</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Context analysis, stakeholder needs, initial gap assessment.</w:t>
            </w:r>
          </w:p>
        </w:tc>
      </w:tr>
      <w:tr>
        <w:trPr>
          <w:cantSplit/>
        </w:trPr>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 BIA &amp; Risk</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Weeks 6–14</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Perform BIA and risk assessment; validate prioritized activities, dependencies and disruption scenarios.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BIA register/reports, risk assessment, recovery priorities.</w:t>
            </w:r>
          </w:p>
        </w:tc>
      </w:tr>
      <w:tr>
        <w:trPr>
          <w:cantSplit/>
        </w:trPr>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 Strategies &amp; Solutions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Weeks 10–18</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Select continuity strategies and resource solutions; resolve capability gaps.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strategies, investment / treatment decisions.</w:t>
            </w:r>
          </w:p>
        </w:tc>
      </w:tr>
      <w:tr>
        <w:trPr>
          <w:cantSplit/>
        </w:trPr>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 Plans &amp; Enablement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Weeks 14–24</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Develop procedures/plans, communications, training, information controls and supplier arrangements.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Plans, contact structures, training, controlled records.</w:t>
            </w:r>
          </w:p>
        </w:tc>
      </w:tr>
      <w:tr>
        <w:trPr>
          <w:cantSplit/>
        </w:trPr>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 Exercise &amp; Evaluate</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Weeks 20–30</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Exercise plans, evaluate capability, monitor BCMS performance and close important gaps.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Exercise records, evaluation results, actions.</w:t>
            </w:r>
          </w:p>
        </w:tc>
      </w:tr>
      <w:tr>
        <w:trPr>
          <w:cantSplit/>
        </w:trPr>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 Assurance &amp; Handover</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Weeks 28–36</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audit, corrective action, management review and operational handover / certification preparation if applicable.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report, action closure, review decisions, handover.</w:t>
            </w:r>
          </w:p>
        </w:tc>
      </w:tr>
    </w:tbl>
    <w:p>
      <w:pPr>
        <w:pStyle w:val="Heading1"/>
        <w:keepNext/>
        <w:spacing w:before="120" w:after="60" w:line="252" w:lineRule="auto"/>
      </w:pPr>
      <w:r>
        <w:rPr>
          <w:rFonts w:ascii="Cambria" w:hAnsi="Cambria" w:eastAsia="Cambria"/>
          <w:b/>
          <w:color w:val="1F4E79"/>
          <w:sz w:val="24"/>
        </w:rPr>
        <w:t>5. Workstreams and Deliverables</w:t>
      </w:r>
    </w:p>
    <w:tbl>
      <w:tblPr>
        <w:tblW w:type="auto" w:w="0"/>
        <w:jc w:val="center"/>
        <w:tblLayout w:type="fixed"/>
        <w:tblLook w:val="04A0"/>
      </w:tblPr>
      <w:tblGrid>
        <w:gridCol w:w="4677"/>
        <w:gridCol w:w="4677"/>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Workstream</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Core deliverables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Governance, Context &amp; Scope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BCMS scope, governance, roles, interested parties, climate relevance and continuity obligations.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 method, impact categories, time criteria, prioritized activities, dependencies, resource needs and recovery priorities.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Risk Assessment</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Disruption risk method, scenario/threat assessment, vulnerabilities, dependencies and treatment priorities.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Strategies &amp; Solutions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People, premises, technology, information, suppliers, logistics, communications and alternate-work solutions.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Plans &amp; Procedures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Incident activation, command/coordination, continuity procedures, escalation, communications and return-to-normal controls.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Exercise Programme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Exercise objectives, schedule, scenarios, observers, evaluation criteria, lessons learned and follow-up.</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 &amp; Information</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Competence, awareness, communications, controlled documents, contact data, repositories and access arrangements.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Performance &amp; Assurance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KPIs, capability evaluation, internal audit, management review, corrective action and continual improvement.</w:t>
            </w:r>
          </w:p>
        </w:tc>
      </w:tr>
    </w:tbl>
    <w:p>
      <w:pPr>
        <w:pStyle w:val="Heading1"/>
        <w:keepNext/>
        <w:spacing w:before="120" w:after="60" w:line="252" w:lineRule="auto"/>
      </w:pPr>
      <w:r>
        <w:rPr>
          <w:rFonts w:ascii="Cambria" w:hAnsi="Cambria" w:eastAsia="Cambria"/>
          <w:b/>
          <w:color w:val="1F4E79"/>
          <w:sz w:val="24"/>
        </w:rPr>
        <w:t>6. Illustrative Implementation Task Tracker</w:t>
      </w:r>
    </w:p>
    <w:tbl>
      <w:tblPr>
        <w:tblW w:type="auto" w:w="0"/>
        <w:jc w:val="center"/>
        <w:tblLayout w:type="fixed"/>
        <w:tblLook w:val="04A0"/>
      </w:tblPr>
      <w:tblGrid>
        <w:gridCol w:w="1169"/>
        <w:gridCol w:w="1169"/>
        <w:gridCol w:w="1169"/>
        <w:gridCol w:w="1169"/>
        <w:gridCol w:w="1169"/>
        <w:gridCol w:w="1169"/>
        <w:gridCol w:w="1169"/>
        <w:gridCol w:w="1169"/>
      </w:tblGrid>
      <w:tr>
        <w:trPr>
          <w:tblHeader w:val="true"/>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Task ID</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Task / Deliverable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Target Date</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Priority</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Status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Dependency / Evidence</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EX-BCMS-P01</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Confirm BCMS sponsor, scope and steering governance.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Project Sponsor</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2026-09-30</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Completed</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EX-BCMS-P02</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Approve BIA methodology and conduct pilot BIA for one critical service.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Business Continuity Manager</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2026-10-31</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 Progress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Pilot before enterprise rollout</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EX-BCMS-P03</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Validate technology recovery dependencies for prioritized activities.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IT Resilience Lead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2026-11-20</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Requires BIA dependency data</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EX-BCMS-P04</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continuity requirements for selected critical suppliers.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Supply Chain Manager</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2026-12-15</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Medium</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Not Started</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Depends on supplier criticality assessment</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EX-BCMS-P05</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Plan first cross-functional continuity exercise and evaluation criteria.</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Exercise Coordinator</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2027-02-15</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Medium</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Requires approved plan set and participant availability</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The first 5 task rows are Illustrative Data. Replace or delete them before operational use; use Actual Data rows for project reporting.</w:t>
            </w:r>
          </w:p>
        </w:tc>
      </w:tr>
    </w:tbl>
    <w:p>
      <w:pPr>
        <w:spacing w:after="20"/>
      </w:pPr>
    </w:p>
    <w:p>
      <w:pPr>
        <w:pStyle w:val="Heading1"/>
        <w:keepNext/>
        <w:spacing w:before="120" w:after="60" w:line="252" w:lineRule="auto"/>
      </w:pPr>
      <w:r>
        <w:rPr>
          <w:rFonts w:ascii="Cambria" w:hAnsi="Cambria" w:eastAsia="Cambria"/>
          <w:b/>
          <w:color w:val="1F4E79"/>
          <w:sz w:val="24"/>
        </w:rPr>
        <w:t>7. Project Risks and Dependencies</w:t>
      </w:r>
    </w:p>
    <w:tbl>
      <w:tblPr>
        <w:tblW w:type="auto" w:w="0"/>
        <w:jc w:val="center"/>
        <w:tblLayout w:type="fixed"/>
        <w:tblLook w:val="04A0"/>
      </w:tblPr>
      <w:tblGrid>
        <w:gridCol w:w="4677"/>
        <w:gridCol w:w="4677"/>
      </w:tblGrid>
      <w:tr>
        <w:trPr>
          <w:tblHeader w:val="true"/>
        </w:trPr>
        <w:tc>
          <w:tcPr>
            <w:tcW w:type="dxa" w:w="42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Project risk / dependency</w:t>
            </w:r>
          </w:p>
        </w:tc>
        <w:tc>
          <w:tcPr>
            <w:tcW w:type="dxa" w:w="51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Mitigation / control</w:t>
            </w:r>
          </w:p>
        </w:tc>
      </w:tr>
      <w:tr>
        <w:trPr>
          <w:cantSplit/>
        </w:trPr>
        <w:tc>
          <w:tcPr>
            <w:tcW w:type="dxa" w:w="42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 becomes a questionnaire exercise without business ownership</w:t>
            </w:r>
          </w:p>
        </w:tc>
        <w:tc>
          <w:tcPr>
            <w:tcW w:type="dxa" w:w="51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facilitated workshops, defined evidence expectations and accountable process-owner approval.</w:t>
            </w:r>
          </w:p>
        </w:tc>
      </w:tr>
      <w:tr>
        <w:trPr>
          <w:cantSplit/>
        </w:trPr>
        <w:tc>
          <w:tcPr>
            <w:tcW w:type="dxa" w:w="42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Recovery targets are not supported by technical or supplier capability</w:t>
            </w:r>
          </w:p>
        </w:tc>
        <w:tc>
          <w:tcPr>
            <w:tcW w:type="dxa" w:w="51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Validate RTO/RPO/resource needs with IT, facilities, suppliers and solution owners before approval.</w:t>
            </w:r>
          </w:p>
        </w:tc>
      </w:tr>
      <w:tr>
        <w:trPr>
          <w:cantSplit/>
        </w:trPr>
        <w:tc>
          <w:tcPr>
            <w:tcW w:type="dxa" w:w="42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Plans are written before strategies are agreed</w:t>
            </w:r>
          </w:p>
        </w:tc>
        <w:tc>
          <w:tcPr>
            <w:tcW w:type="dxa" w:w="51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Sequence plan development after strategy / solution decisions and record assumptions.</w:t>
            </w:r>
          </w:p>
        </w:tc>
      </w:tr>
      <w:tr>
        <w:trPr>
          <w:cantSplit/>
        </w:trPr>
        <w:tc>
          <w:tcPr>
            <w:tcW w:type="dxa" w:w="42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Exercises are too simple to reveal weaknesses</w:t>
            </w:r>
          </w:p>
        </w:tc>
        <w:tc>
          <w:tcPr>
            <w:tcW w:type="dxa" w:w="51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progressive exercise maturity, realistic disruption injects and measurable evaluation criteria.</w:t>
            </w:r>
          </w:p>
        </w:tc>
      </w:tr>
      <w:tr>
        <w:trPr>
          <w:cantSplit/>
        </w:trPr>
        <w:tc>
          <w:tcPr>
            <w:tcW w:type="dxa" w:w="42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Critical supplier dependencies are not visible</w:t>
            </w:r>
          </w:p>
        </w:tc>
        <w:tc>
          <w:tcPr>
            <w:tcW w:type="dxa" w:w="51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Link supplier criticality to BIA and include continuity requirements in onboarding/contract/monitoring where appropriate.</w:t>
            </w:r>
          </w:p>
        </w:tc>
      </w:tr>
      <w:tr>
        <w:trPr>
          <w:cantSplit/>
        </w:trPr>
        <w:tc>
          <w:tcPr>
            <w:tcW w:type="dxa" w:w="42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Assurance is performed before enough operating evidence exists</w:t>
            </w:r>
          </w:p>
        </w:tc>
        <w:tc>
          <w:tcPr>
            <w:tcW w:type="dxa" w:w="51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readiness gates and schedule audit after meaningful implementation, exercise and monitoring evidence is available.</w:t>
            </w:r>
          </w:p>
        </w:tc>
      </w:tr>
    </w:tbl>
    <w:p>
      <w:pPr>
        <w:pStyle w:val="Heading1"/>
        <w:keepNext/>
        <w:spacing w:before="120" w:after="60" w:line="252" w:lineRule="auto"/>
      </w:pPr>
      <w:r>
        <w:rPr>
          <w:rFonts w:ascii="Cambria" w:hAnsi="Cambria" w:eastAsia="Cambria"/>
          <w:b/>
          <w:color w:val="1F4E79"/>
          <w:sz w:val="24"/>
        </w:rPr>
        <w:t>8. Readiness Gates</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Gate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Minimum evidence before approval</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G1 — Mobilization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Sponsor, scope, roles, project controls and baseline assessment approved.</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G2 — Analysis complete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 and disruption risk assessment sufficiently cover the approved BCMS scope.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G3 — Strategies approved</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Continuity strategies / solutions address approved recovery priorities and capability gaps.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G4 — Operational evidence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Plans, competence, communications, supplier/technology arrangements and controlled records are operating.</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G5 — Exercise and evaluation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Exercises / tests demonstrate capability and material actions have owners and due dates.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G6 — Assurance / handover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 and management review completed; critical residual gaps have approved disposition; BAU ownership accepted.</w:t>
            </w:r>
          </w:p>
        </w:tc>
      </w:tr>
    </w:tbl>
    <w:p>
      <w:pPr>
        <w:pStyle w:val="Heading1"/>
        <w:keepNext/>
        <w:spacing w:before="120" w:after="60" w:line="252" w:lineRule="auto"/>
      </w:pPr>
      <w:r>
        <w:rPr>
          <w:rFonts w:ascii="Cambria" w:hAnsi="Cambria" w:eastAsia="Cambria"/>
          <w:b/>
          <w:color w:val="1F4E79"/>
          <w:sz w:val="24"/>
        </w:rPr>
        <w:t>References</w:t>
      </w:r>
    </w:p>
    <w:p>
      <w:pPr>
        <w:pStyle w:val="ListBullet"/>
        <w:spacing w:before="0" w:after="50" w:line="252" w:lineRule="auto"/>
      </w:pPr>
      <w:r>
        <w:rPr>
          <w:rFonts w:ascii="Cambria" w:hAnsi="Cambria" w:eastAsia="Cambria"/>
          <w:sz w:val="20"/>
        </w:rPr>
        <w:t>ISO 22301:2019 — Security and resilience — Business continuity management systems — Requirements.</w:t>
      </w:r>
    </w:p>
    <w:p>
      <w:pPr>
        <w:pStyle w:val="ListBullet"/>
        <w:spacing w:before="0" w:after="50" w:line="252" w:lineRule="auto"/>
      </w:pPr>
      <w:r>
        <w:rPr>
          <w:rFonts w:ascii="Cambria" w:hAnsi="Cambria" w:eastAsia="Cambria"/>
          <w:sz w:val="20"/>
        </w:rPr>
        <w:t>ISO 22301:2019/Amd 1:2024 — Climate action changes.</w:t>
      </w:r>
    </w:p>
    <w:p>
      <w:pPr>
        <w:pStyle w:val="ListBullet"/>
        <w:spacing w:before="0" w:after="50" w:line="252" w:lineRule="auto"/>
      </w:pPr>
      <w:r>
        <w:rPr>
          <w:rFonts w:ascii="Cambria" w:hAnsi="Cambria" w:eastAsia="Cambria"/>
          <w:sz w:val="20"/>
        </w:rPr>
        <w:t>ISO 22313:2020 — Security and resilience — Business continuity management systems — Guidance on the use of ISO 22301.</w:t>
      </w:r>
    </w:p>
    <w:p>
      <w:pPr>
        <w:pStyle w:val="ListBullet"/>
        <w:spacing w:before="0" w:after="50" w:line="252" w:lineRule="auto"/>
      </w:pPr>
      <w:r>
        <w:rPr>
          <w:rFonts w:ascii="Cambria" w:hAnsi="Cambria" w:eastAsia="Cambria"/>
          <w:sz w:val="20"/>
        </w:rPr>
        <w:t>Controlled organization-specific BCMS policies, BIA records, risk assessments, strategies, plans, exercise records, audit records and improvement actions.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Business Continuity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Business Continuity Implementation Project Plan</w:t>
          </w:r>
        </w:p>
      </w:tc>
      <w:tc>
        <w:tcPr>
          <w:tcW w:type="dxa" w:w="2324"/>
          <w:tcMar>
            <w:top w:w="20" w:type="dxa"/>
            <w:left w:w="40" w:type="dxa"/>
            <w:bottom w:w="20" w:type="dxa"/>
            <w:right w:w="40" w:type="dxa"/>
          </w:tcMar>
        </w:tcPr>
        <w:p>
          <w:pPr>
            <w:jc w:val="right"/>
          </w:pPr>
          <w:r>
            <w:rPr>
              <w:rFonts w:ascii="Cambria" w:hAnsi="Cambria" w:eastAsia="Cambria"/>
              <w:b/>
              <w:color w:val="666666"/>
              <w:sz w:val="16"/>
            </w:rPr>
            <w:t>BCMS-PLN-001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