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BUSINESS CONTINUITY GAP ANALYSIS GUIDANCE</w:t>
      </w:r>
    </w:p>
    <w:p>
      <w:pPr>
        <w:spacing w:after="120"/>
      </w:pPr>
      <w:r>
        <w:rPr>
          <w:rFonts w:ascii="Cambria" w:hAnsi="Cambria" w:eastAsia="Cambria"/>
          <w:b/>
          <w:sz w:val="23"/>
        </w:rPr>
        <w:t>ISO 22301:2019 + Amd 1:2024</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Business Continuity Manager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Top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Provide a practical method for assessing the current Business Continuity Management System against ISO 22301 themes, identifying evidence-based gaps and converting them into prioritized actions.</w:t>
      </w: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Use the licensed ISO 22301 standard for formal clause-by-clause conformity decisions. This guidance is a practical assessment aid and intentionally paraphrases requirements.</w:t>
            </w:r>
          </w:p>
        </w:tc>
      </w:tr>
    </w:tbl>
    <w:p>
      <w:pPr>
        <w:spacing w:after="20"/>
      </w:pPr>
    </w:p>
    <w:p>
      <w:pPr>
        <w:pStyle w:val="Heading1"/>
        <w:keepNext/>
        <w:spacing w:before="120" w:after="60" w:line="252" w:lineRule="auto"/>
      </w:pPr>
      <w:r>
        <w:rPr>
          <w:rFonts w:ascii="Cambria" w:hAnsi="Cambria" w:eastAsia="Cambria"/>
          <w:b/>
          <w:color w:val="1F4E79"/>
          <w:sz w:val="24"/>
        </w:rPr>
        <w:t>2. Assessment Principles</w:t>
      </w:r>
    </w:p>
    <w:p>
      <w:pPr>
        <w:pStyle w:val="ListBullet"/>
        <w:spacing w:before="0" w:after="50" w:line="252" w:lineRule="auto"/>
      </w:pPr>
      <w:r>
        <w:rPr>
          <w:rFonts w:ascii="Cambria" w:hAnsi="Cambria" w:eastAsia="Cambria"/>
          <w:sz w:val="20"/>
        </w:rPr>
        <w:t>Assess implementation and effectiveness, not document existence alone.</w:t>
      </w:r>
    </w:p>
    <w:p>
      <w:pPr>
        <w:pStyle w:val="ListBullet"/>
        <w:spacing w:before="0" w:after="50" w:line="252" w:lineRule="auto"/>
      </w:pPr>
      <w:r>
        <w:rPr>
          <w:rFonts w:ascii="Cambria" w:hAnsi="Cambria" w:eastAsia="Cambria"/>
          <w:sz w:val="20"/>
        </w:rPr>
        <w:t>Use objective evidence from multiple sources: records, interviews, observations, exercise results, BIA data and operational controls.</w:t>
      </w:r>
    </w:p>
    <w:p>
      <w:pPr>
        <w:pStyle w:val="ListBullet"/>
        <w:spacing w:before="0" w:after="50" w:line="252" w:lineRule="auto"/>
      </w:pPr>
      <w:r>
        <w:rPr>
          <w:rFonts w:ascii="Cambria" w:hAnsi="Cambria" w:eastAsia="Cambria"/>
          <w:sz w:val="20"/>
        </w:rPr>
        <w:t>Assess the approved BCMS scope and relevant interfaces/dependencies.</w:t>
      </w:r>
    </w:p>
    <w:p>
      <w:pPr>
        <w:pStyle w:val="ListBullet"/>
        <w:spacing w:before="0" w:after="50" w:line="252" w:lineRule="auto"/>
      </w:pPr>
      <w:r>
        <w:rPr>
          <w:rFonts w:ascii="Cambria" w:hAnsi="Cambria" w:eastAsia="Cambria"/>
          <w:sz w:val="20"/>
        </w:rPr>
        <w:t>Differentiate a true conformity gap from an improvement opportunity or untested assumption.</w:t>
      </w:r>
    </w:p>
    <w:p>
      <w:pPr>
        <w:pStyle w:val="ListBullet"/>
        <w:spacing w:before="0" w:after="50" w:line="252" w:lineRule="auto"/>
      </w:pPr>
      <w:r>
        <w:rPr>
          <w:rFonts w:ascii="Cambria" w:hAnsi="Cambria" w:eastAsia="Cambria"/>
          <w:sz w:val="20"/>
        </w:rPr>
        <w:t>Avoid declaring a capability effective when it has never been exercised or otherwise evaluated.</w:t>
      </w:r>
    </w:p>
    <w:p>
      <w:pPr>
        <w:pStyle w:val="Heading1"/>
        <w:keepNext/>
        <w:spacing w:before="120" w:after="60" w:line="252" w:lineRule="auto"/>
      </w:pPr>
      <w:r>
        <w:rPr>
          <w:rFonts w:ascii="Cambria" w:hAnsi="Cambria" w:eastAsia="Cambria"/>
          <w:b/>
          <w:color w:val="1F4E79"/>
          <w:sz w:val="24"/>
        </w:rPr>
        <w:t>3. Evidence Sources</w:t>
      </w:r>
    </w:p>
    <w:tbl>
      <w:tblPr>
        <w:tblW w:type="auto" w:w="0"/>
        <w:jc w:val="center"/>
        <w:tblLayout w:type="fixed"/>
        <w:tblLook w:val="04A0"/>
      </w:tblPr>
      <w:tblGrid>
        <w:gridCol w:w="4677"/>
        <w:gridCol w:w="4677"/>
      </w:tblGrid>
      <w:tr>
        <w:trPr>
          <w:tblHeader w:val="true"/>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Assessment area</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Useful evidence</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Context, scope and governance</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Context review, interested-party requirements, BCMS scope, policy, roles, management decisions.</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BIA</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Approved BIA method, completed BIAs, impact criteria, MTPD/MAO or equivalent tolerances, recovery priorities, dependencies, resource needs.</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Risk assessment</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Disruption risk method, scenarios/threats, vulnerabilities, dependency risk, treatment decisions.</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Strategies and solutions</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Approved recovery strategies, capacity analysis, alternate arrangements, technology recovery, supplier continuity controls.</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Plans and procedures</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Activation criteria, roles, contact structures, procedures, communication templates, return-to-normal arrangements.</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Exercises and evaluation</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Exercise plans, scenarios, observer notes, results, capability evaluations, action closure.</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Performance and improvement</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KPIs, internal audit, corrective actions, management review, lessons learned and repeated issues.</w:t>
            </w:r>
          </w:p>
        </w:tc>
      </w:tr>
    </w:tbl>
    <w:p>
      <w:pPr>
        <w:pStyle w:val="Heading1"/>
        <w:keepNext/>
        <w:spacing w:before="120" w:after="60" w:line="252" w:lineRule="auto"/>
      </w:pPr>
      <w:r>
        <w:rPr>
          <w:rFonts w:ascii="Cambria" w:hAnsi="Cambria" w:eastAsia="Cambria"/>
          <w:b/>
          <w:color w:val="1F4E79"/>
          <w:sz w:val="24"/>
        </w:rPr>
        <w:t>4. Suggested Assessment Status</w:t>
      </w:r>
    </w:p>
    <w:tbl>
      <w:tblPr>
        <w:tblW w:type="auto" w:w="0"/>
        <w:jc w:val="center"/>
        <w:tblLayout w:type="fixed"/>
        <w:tblLook w:val="04A0"/>
      </w:tblPr>
      <w:tblGrid>
        <w:gridCol w:w="4677"/>
        <w:gridCol w:w="4677"/>
      </w:tblGrid>
      <w:tr>
        <w:trPr>
          <w:tblHeader w:val="true"/>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Status</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Use when</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Conforming</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Evidence demonstrates the intended BCMS requirement/theme is implemented and operating for the assessed scope.</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Partially Conforming</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Some required elements exist but coverage, consistency, evidence or effectiveness is incomplete.</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Nonconforming</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 material required element is absent, not implemented, or evidence demonstrates the requirement is not fulfilled.</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Not Assessed</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Evidence has not yet been sufficiently reviewed.</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N/A</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The criterion is genuinely not applicable to the assessed scope and the rationale is documented.</w:t>
            </w:r>
          </w:p>
        </w:tc>
      </w:tr>
    </w:tbl>
    <w:p>
      <w:pPr>
        <w:pStyle w:val="Heading1"/>
        <w:keepNext/>
        <w:spacing w:before="120" w:after="60" w:line="252" w:lineRule="auto"/>
      </w:pPr>
      <w:r>
        <w:rPr>
          <w:rFonts w:ascii="Cambria" w:hAnsi="Cambria" w:eastAsia="Cambria"/>
          <w:b/>
          <w:color w:val="1F4E79"/>
          <w:sz w:val="24"/>
        </w:rPr>
        <w:t>5. Assessment Sequence</w:t>
      </w:r>
    </w:p>
    <w:tbl>
      <w:tblPr>
        <w:tblW w:type="auto" w:w="0"/>
        <w:jc w:val="center"/>
        <w:tblLayout w:type="fixed"/>
        <w:tblLook w:val="04A0"/>
      </w:tblPr>
      <w:tblGrid>
        <w:gridCol w:w="3118"/>
        <w:gridCol w:w="3118"/>
        <w:gridCol w:w="3118"/>
      </w:tblGrid>
      <w:tr>
        <w:trPr>
          <w:tblHeader w:val="true"/>
        </w:trPr>
        <w:tc>
          <w:tcPr>
            <w:tcW w:type="dxa" w:w="7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Step</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Assessment activity</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Output</w:t>
            </w:r>
          </w:p>
        </w:tc>
      </w:tr>
      <w:tr>
        <w:trPr>
          <w:cantSplit/>
        </w:trPr>
        <w:tc>
          <w:tcPr>
            <w:tcW w:type="dxa" w:w="7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Confirm scope, locations, products/services, interested parties, key dependencies and assessment objectives.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Assessment plan / scope</w:t>
            </w:r>
          </w:p>
        </w:tc>
      </w:tr>
      <w:tr>
        <w:trPr>
          <w:cantSplit/>
        </w:trPr>
        <w:tc>
          <w:tcPr>
            <w:tcW w:type="dxa" w:w="7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2</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Review context, policy, governance, objectives, BCMS roles and documented-information controls.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Governance evidence / preliminary gaps</w:t>
            </w:r>
          </w:p>
        </w:tc>
      </w:tr>
      <w:tr>
        <w:trPr>
          <w:cantSplit/>
        </w:trPr>
        <w:tc>
          <w:tcPr>
            <w:tcW w:type="dxa" w:w="7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3</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Assess BIA methodology, completed BIAs, prioritization, dependencies and resource requirements.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BIA gap findings</w:t>
            </w:r>
          </w:p>
        </w:tc>
      </w:tr>
      <w:tr>
        <w:trPr>
          <w:cantSplit/>
        </w:trPr>
        <w:tc>
          <w:tcPr>
            <w:tcW w:type="dxa" w:w="7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4</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Assess disruption risk methodology and relationship to BIA / continuity priorities.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Risk gap findings</w:t>
            </w:r>
          </w:p>
        </w:tc>
      </w:tr>
      <w:tr>
        <w:trPr>
          <w:cantSplit/>
        </w:trPr>
        <w:tc>
          <w:tcPr>
            <w:tcW w:type="dxa" w:w="7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5</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Assess strategies / solutions against approved recovery needs and realistic capacity.</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Capability gap findings</w:t>
            </w:r>
          </w:p>
        </w:tc>
      </w:tr>
      <w:tr>
        <w:trPr>
          <w:cantSplit/>
        </w:trPr>
        <w:tc>
          <w:tcPr>
            <w:tcW w:type="dxa" w:w="7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6</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Assess plans, communication, competence, supplier/technology arrangements and accessibility.</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Operational readiness findings</w:t>
            </w:r>
          </w:p>
        </w:tc>
      </w:tr>
      <w:tr>
        <w:trPr>
          <w:cantSplit/>
        </w:trPr>
        <w:tc>
          <w:tcPr>
            <w:tcW w:type="dxa" w:w="7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7</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Review exercise programme, results, capability evaluation, corrective actions and repeat issues.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Exercise / evaluation findings</w:t>
            </w:r>
          </w:p>
        </w:tc>
      </w:tr>
      <w:tr>
        <w:trPr>
          <w:cantSplit/>
        </w:trPr>
        <w:tc>
          <w:tcPr>
            <w:tcW w:type="dxa" w:w="7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8</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Review monitoring, internal audit, management review and continual-improvement evidence.</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Assurance findings</w:t>
            </w:r>
          </w:p>
        </w:tc>
      </w:tr>
      <w:tr>
        <w:trPr>
          <w:cantSplit/>
        </w:trPr>
        <w:tc>
          <w:tcPr>
            <w:tcW w:type="dxa" w:w="7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9</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Prioritize gaps, assign actions and validate conclusions with responsible management.</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Approved action plan</w:t>
            </w:r>
          </w:p>
        </w:tc>
      </w:tr>
    </w:tbl>
    <w:p>
      <w:pPr>
        <w:pStyle w:val="Heading1"/>
        <w:keepNext/>
        <w:spacing w:before="120" w:after="60" w:line="252" w:lineRule="auto"/>
      </w:pPr>
      <w:r>
        <w:rPr>
          <w:rFonts w:ascii="Cambria" w:hAnsi="Cambria" w:eastAsia="Cambria"/>
          <w:b/>
          <w:color w:val="1F4E79"/>
          <w:sz w:val="24"/>
        </w:rPr>
        <w:t>6. BIA-Focused Assessment Questions</w:t>
      </w:r>
    </w:p>
    <w:p>
      <w:pPr>
        <w:pStyle w:val="ListBullet"/>
        <w:spacing w:before="0" w:after="50" w:line="252" w:lineRule="auto"/>
      </w:pPr>
      <w:r>
        <w:rPr>
          <w:rFonts w:ascii="Cambria" w:hAnsi="Cambria" w:eastAsia="Cambria"/>
          <w:sz w:val="20"/>
        </w:rPr>
        <w:t>Are impact categories and time-based impact criteria defined and consistently applied?</w:t>
      </w:r>
    </w:p>
    <w:p>
      <w:pPr>
        <w:pStyle w:val="ListBullet"/>
        <w:spacing w:before="0" w:after="50" w:line="252" w:lineRule="auto"/>
      </w:pPr>
      <w:r>
        <w:rPr>
          <w:rFonts w:ascii="Cambria" w:hAnsi="Cambria" w:eastAsia="Cambria"/>
          <w:sz w:val="20"/>
        </w:rPr>
        <w:t>Are prioritized activities linked to products/services and customer/contractual/regulatory needs?</w:t>
      </w:r>
    </w:p>
    <w:p>
      <w:pPr>
        <w:pStyle w:val="ListBullet"/>
        <w:spacing w:before="0" w:after="50" w:line="252" w:lineRule="auto"/>
      </w:pPr>
      <w:r>
        <w:rPr>
          <w:rFonts w:ascii="Cambria" w:hAnsi="Cambria" w:eastAsia="Cambria"/>
          <w:sz w:val="20"/>
        </w:rPr>
        <w:t>Are recovery priorities and minimum acceptable capacity approved by accountable business owners?</w:t>
      </w:r>
    </w:p>
    <w:p>
      <w:pPr>
        <w:pStyle w:val="ListBullet"/>
        <w:spacing w:before="0" w:after="50" w:line="252" w:lineRule="auto"/>
      </w:pPr>
      <w:r>
        <w:rPr>
          <w:rFonts w:ascii="Cambria" w:hAnsi="Cambria" w:eastAsia="Cambria"/>
          <w:sz w:val="20"/>
        </w:rPr>
        <w:t>Are people, premises, information, technology, supplier, logistics and other dependencies sufficiently identified?</w:t>
      </w:r>
    </w:p>
    <w:p>
      <w:pPr>
        <w:pStyle w:val="ListBullet"/>
        <w:spacing w:before="0" w:after="50" w:line="252" w:lineRule="auto"/>
      </w:pPr>
      <w:r>
        <w:rPr>
          <w:rFonts w:ascii="Cambria" w:hAnsi="Cambria" w:eastAsia="Cambria"/>
          <w:sz w:val="20"/>
        </w:rPr>
        <w:t>Are resource requirements defined for progressive recovery over time, not only a single recovery target?</w:t>
      </w:r>
    </w:p>
    <w:p>
      <w:pPr>
        <w:pStyle w:val="Heading1"/>
        <w:keepNext/>
        <w:spacing w:before="120" w:after="60" w:line="252" w:lineRule="auto"/>
      </w:pPr>
      <w:r>
        <w:rPr>
          <w:rFonts w:ascii="Cambria" w:hAnsi="Cambria" w:eastAsia="Cambria"/>
          <w:b/>
          <w:color w:val="1F4E79"/>
          <w:sz w:val="24"/>
        </w:rPr>
        <w:t>7. Strategy and Plan Assessment Questions</w:t>
      </w:r>
    </w:p>
    <w:p>
      <w:pPr>
        <w:pStyle w:val="ListBullet"/>
        <w:spacing w:before="0" w:after="50" w:line="252" w:lineRule="auto"/>
      </w:pPr>
      <w:r>
        <w:rPr>
          <w:rFonts w:ascii="Cambria" w:hAnsi="Cambria" w:eastAsia="Cambria"/>
          <w:sz w:val="20"/>
        </w:rPr>
        <w:t>Can selected strategies realistically meet approved recovery priorities and capacity needs?</w:t>
      </w:r>
    </w:p>
    <w:p>
      <w:pPr>
        <w:pStyle w:val="ListBullet"/>
        <w:spacing w:before="0" w:after="50" w:line="252" w:lineRule="auto"/>
      </w:pPr>
      <w:r>
        <w:rPr>
          <w:rFonts w:ascii="Cambria" w:hAnsi="Cambria" w:eastAsia="Cambria"/>
          <w:sz w:val="20"/>
        </w:rPr>
        <w:t>Have critical single points of failure and external dependencies been considered?</w:t>
      </w:r>
    </w:p>
    <w:p>
      <w:pPr>
        <w:pStyle w:val="ListBullet"/>
        <w:spacing w:before="0" w:after="50" w:line="252" w:lineRule="auto"/>
      </w:pPr>
      <w:r>
        <w:rPr>
          <w:rFonts w:ascii="Cambria" w:hAnsi="Cambria" w:eastAsia="Cambria"/>
          <w:sz w:val="20"/>
        </w:rPr>
        <w:t>Are activation and escalation criteria clear enough for a real disruption?</w:t>
      </w:r>
    </w:p>
    <w:p>
      <w:pPr>
        <w:pStyle w:val="ListBullet"/>
        <w:spacing w:before="0" w:after="50" w:line="252" w:lineRule="auto"/>
      </w:pPr>
      <w:r>
        <w:rPr>
          <w:rFonts w:ascii="Cambria" w:hAnsi="Cambria" w:eastAsia="Cambria"/>
          <w:sz w:val="20"/>
        </w:rPr>
        <w:t>Do plans include communication, coordination, resource and handover requirements?</w:t>
      </w:r>
    </w:p>
    <w:p>
      <w:pPr>
        <w:pStyle w:val="ListBullet"/>
        <w:spacing w:before="0" w:after="50" w:line="252" w:lineRule="auto"/>
      </w:pPr>
      <w:r>
        <w:rPr>
          <w:rFonts w:ascii="Cambria" w:hAnsi="Cambria" w:eastAsia="Cambria"/>
          <w:sz w:val="20"/>
        </w:rPr>
        <w:t>Are alternate arrangements maintained, accessible and tested under realistic assumptions?</w:t>
      </w:r>
    </w:p>
    <w:p>
      <w:pPr>
        <w:pStyle w:val="Heading1"/>
        <w:keepNext/>
        <w:spacing w:before="120" w:after="60" w:line="252" w:lineRule="auto"/>
      </w:pPr>
      <w:r>
        <w:rPr>
          <w:rFonts w:ascii="Cambria" w:hAnsi="Cambria" w:eastAsia="Cambria"/>
          <w:b/>
          <w:color w:val="1F4E79"/>
          <w:sz w:val="24"/>
        </w:rPr>
        <w:t>8. Exercise and Capability Assessment</w:t>
      </w:r>
    </w:p>
    <w:p>
      <w:pPr>
        <w:spacing w:before="0" w:after="80" w:line="252" w:lineRule="auto"/>
      </w:pPr>
      <w:r>
        <w:rPr>
          <w:rFonts w:ascii="Cambria" w:hAnsi="Cambria" w:eastAsia="Cambria"/>
          <w:i w:val="0"/>
          <w:sz w:val="20"/>
        </w:rPr>
        <w:t>Evaluate whether the exercise programme progressively demonstrates capability, not only participation. Look for realistic objectives, scenario design, observer/evaluator criteria, decision-making, resource constraints, communications, recovery sequence, sustained operation and formal action follow-up.</w:t>
      </w: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A completed exercise is not automatically evidence of effective continuity capability. Review whether objectives were met, assumptions were challenged and material actions were verified to closure.</w:t>
            </w:r>
          </w:p>
        </w:tc>
      </w:tr>
    </w:tbl>
    <w:p>
      <w:pPr>
        <w:spacing w:after="20"/>
      </w:pPr>
    </w:p>
    <w:p>
      <w:pPr>
        <w:pStyle w:val="Heading1"/>
        <w:keepNext/>
        <w:spacing w:before="120" w:after="60" w:line="252" w:lineRule="auto"/>
      </w:pPr>
      <w:r>
        <w:rPr>
          <w:rFonts w:ascii="Cambria" w:hAnsi="Cambria" w:eastAsia="Cambria"/>
          <w:b/>
          <w:color w:val="1F4E79"/>
          <w:sz w:val="24"/>
        </w:rPr>
        <w:t>9. Gap Prioritization</w:t>
      </w:r>
    </w:p>
    <w:tbl>
      <w:tblPr>
        <w:tblW w:type="auto" w:w="0"/>
        <w:jc w:val="center"/>
        <w:tblLayout w:type="fixed"/>
        <w:tblLook w:val="04A0"/>
      </w:tblPr>
      <w:tblGrid>
        <w:gridCol w:w="4677"/>
        <w:gridCol w:w="4677"/>
      </w:tblGrid>
      <w:tr>
        <w:trPr>
          <w:tblHeader w:val="true"/>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Priority driver</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Examples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Impact on prioritized activities</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Gap directly threatens recovery time, minimum capacity, critical dependencies or safety / regulatory obligations.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Capability uncertainty</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Critical strategy, technology recovery or alternate arrangement has not been validated.</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Governance / systemic weakness</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Roles, BIA method, exercise programme, audit or management-review process is absent or consistently ineffective.</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Repeat failure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Similar exercise, incident or audit issue recurs without effective corrective action.</w:t>
            </w:r>
          </w:p>
        </w:tc>
      </w:tr>
    </w:tbl>
    <w:p>
      <w:pPr>
        <w:pStyle w:val="Heading1"/>
        <w:keepNext/>
        <w:spacing w:before="120" w:after="60" w:line="252" w:lineRule="auto"/>
      </w:pPr>
      <w:r>
        <w:rPr>
          <w:rFonts w:ascii="Cambria" w:hAnsi="Cambria" w:eastAsia="Cambria"/>
          <w:b/>
          <w:color w:val="1F4E79"/>
          <w:sz w:val="24"/>
        </w:rPr>
        <w:t>10. Reporting and Follow-Up</w:t>
      </w:r>
    </w:p>
    <w:p>
      <w:pPr>
        <w:spacing w:before="0" w:after="80" w:line="252" w:lineRule="auto"/>
      </w:pPr>
      <w:r>
        <w:rPr>
          <w:rFonts w:ascii="Cambria" w:hAnsi="Cambria" w:eastAsia="Cambria"/>
          <w:i w:val="0"/>
          <w:sz w:val="20"/>
        </w:rPr>
        <w:t>Report conclusions by theme, evidence, gap, continuity impact, priority and action. Avoid overstating findings beyond the evidence sampled. Track material actions through the BCMS governance process and escalate overdue or resource-dependent items.</w:t>
      </w:r>
    </w:p>
    <w:p>
      <w:pPr>
        <w:pStyle w:val="Heading1"/>
        <w:keepNext/>
        <w:spacing w:before="120" w:after="60" w:line="252" w:lineRule="auto"/>
      </w:pPr>
      <w:r>
        <w:rPr>
          <w:rFonts w:ascii="Cambria" w:hAnsi="Cambria" w:eastAsia="Cambria"/>
          <w:b/>
          <w:color w:val="1F4E79"/>
          <w:sz w:val="24"/>
        </w:rPr>
        <w:t>References</w:t>
      </w:r>
    </w:p>
    <w:p>
      <w:pPr>
        <w:pStyle w:val="ListBullet"/>
        <w:spacing w:before="0" w:after="50" w:line="252" w:lineRule="auto"/>
      </w:pPr>
      <w:r>
        <w:rPr>
          <w:rFonts w:ascii="Cambria" w:hAnsi="Cambria" w:eastAsia="Cambria"/>
          <w:sz w:val="20"/>
        </w:rPr>
        <w:t>ISO 22301:2019 — Security and resilience — Business continuity management systems — Requirements.</w:t>
      </w:r>
    </w:p>
    <w:p>
      <w:pPr>
        <w:pStyle w:val="ListBullet"/>
        <w:spacing w:before="0" w:after="50" w:line="252" w:lineRule="auto"/>
      </w:pPr>
      <w:r>
        <w:rPr>
          <w:rFonts w:ascii="Cambria" w:hAnsi="Cambria" w:eastAsia="Cambria"/>
          <w:sz w:val="20"/>
        </w:rPr>
        <w:t>ISO 22301:2019/Amd 1:2024 — Climate action changes.</w:t>
      </w:r>
    </w:p>
    <w:p>
      <w:pPr>
        <w:pStyle w:val="ListBullet"/>
        <w:spacing w:before="0" w:after="50" w:line="252" w:lineRule="auto"/>
      </w:pPr>
      <w:r>
        <w:rPr>
          <w:rFonts w:ascii="Cambria" w:hAnsi="Cambria" w:eastAsia="Cambria"/>
          <w:sz w:val="20"/>
        </w:rPr>
        <w:t>ISO 22313:2020 — Security and resilience — Business continuity management systems — Guidance on the use of ISO 22301.</w:t>
      </w:r>
    </w:p>
    <w:p>
      <w:pPr>
        <w:pStyle w:val="ListBullet"/>
        <w:spacing w:before="0" w:after="50" w:line="252" w:lineRule="auto"/>
      </w:pPr>
      <w:r>
        <w:rPr>
          <w:rFonts w:ascii="Cambria" w:hAnsi="Cambria" w:eastAsia="Cambria"/>
          <w:sz w:val="20"/>
        </w:rPr>
        <w:t>Controlled organization-specific BCMS policies, BIA records, risk assessments, strategies, plans, exercise records, audit records and improvement actions.</w:t>
      </w:r>
    </w:p>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Business Continuity Manager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Top Management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Business Continuity Gap Analysis Guidance</w:t>
          </w:r>
        </w:p>
      </w:tc>
      <w:tc>
        <w:tcPr>
          <w:tcW w:type="dxa" w:w="2324"/>
          <w:tcMar>
            <w:top w:w="20" w:type="dxa"/>
            <w:left w:w="40" w:type="dxa"/>
            <w:bottom w:w="20" w:type="dxa"/>
            <w:right w:w="40" w:type="dxa"/>
          </w:tcMar>
        </w:tcPr>
        <w:p>
          <w:pPr>
            <w:jc w:val="right"/>
          </w:pPr>
          <w:r>
            <w:rPr>
              <w:rFonts w:ascii="Cambria" w:hAnsi="Cambria" w:eastAsia="Cambria"/>
              <w:b/>
              <w:color w:val="666666"/>
              <w:sz w:val="16"/>
            </w:rPr>
            <w:t>BCMS-GOV-001</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dcterms:created xsi:type="dcterms:W3CDTF">2013-12-23T23:15:00Z</dcterms:created>
  <dcterms:modified xsi:type="dcterms:W3CDTF">2013-12-23T23:15:00Z</dcterms:modified>
  <cp:category/>
</cp:coreProperties>
</file>