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BUSINESS CONTINUITY GAP ANALYSIS ACTION PLAN</w:t>
      </w:r>
    </w:p>
    <w:p>
      <w:pPr>
        <w:spacing w:after="120"/>
      </w:pPr>
      <w:r>
        <w:rPr>
          <w:rFonts w:ascii="Cambria" w:hAnsi="Cambria" w:eastAsia="Cambria"/>
          <w:b/>
          <w:sz w:val="23"/>
        </w:rPr>
        <w:t>ISO 22301:2019 + Amd 1:2024</w:t>
      </w:r>
    </w:p>
    <w:tbl>
      <w:tblPr>
        <w:tblW w:type="auto" w:w="0"/>
        <w:jc w:val="center"/>
        <w:tblLayout w:type="fixed"/>
        <w:tblLook w:val="04A0"/>
      </w:tblPr>
      <w:tblGrid>
        <w:gridCol w:w="7569"/>
        <w:gridCol w:w="7569"/>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Business Continuity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a controlled action plan for converting BCMS gap-analysis findings into accountable remediation, implementation and capability-improvement actions.</w:t>
      </w:r>
    </w:p>
    <w:p>
      <w:pPr>
        <w:pStyle w:val="Heading1"/>
        <w:keepNext/>
        <w:spacing w:before="120" w:after="60" w:line="252" w:lineRule="auto"/>
      </w:pPr>
      <w:r>
        <w:rPr>
          <w:rFonts w:ascii="Cambria" w:hAnsi="Cambria" w:eastAsia="Cambria"/>
          <w:b/>
          <w:color w:val="1F4E79"/>
          <w:sz w:val="24"/>
        </w:rPr>
        <w:t>2. Use of the Plan</w:t>
      </w:r>
    </w:p>
    <w:p>
      <w:pPr>
        <w:spacing w:before="0" w:after="80" w:line="252" w:lineRule="auto"/>
      </w:pPr>
      <w:r>
        <w:rPr>
          <w:rFonts w:ascii="Cambria" w:hAnsi="Cambria" w:eastAsia="Cambria"/>
          <w:i w:val="0"/>
          <w:sz w:val="20"/>
        </w:rPr>
        <w:t>Link each action to a gap, evidence source and applicable BCMS theme. Define a deliverable that can be verified, assign one accountable owner and record due date, status, evidence and effectiveness or closure verification where needed.</w:t>
      </w:r>
    </w:p>
    <w:tbl>
      <w:tblPr>
        <w:tblW w:type="auto" w:w="0"/>
        <w:jc w:val="center"/>
        <w:tblLayout w:type="autofit"/>
        <w:tblLook w:val="04A0"/>
      </w:tblPr>
      <w:tblGrid>
        <w:gridCol w:w="15138"/>
      </w:tblGrid>
      <w:tr>
        <w:tc>
          <w:tcPr>
            <w:tcW w:type="dxa" w:w="15138"/>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Do not close a business continuity gap only because a document has been issued. For material capability gaps, verify that the process, resource, plan or solution can operate under disruption conditions.</w:t>
            </w:r>
          </w:p>
        </w:tc>
      </w:tr>
    </w:tbl>
    <w:p>
      <w:pPr>
        <w:spacing w:after="20"/>
      </w:pPr>
    </w:p>
    <w:p>
      <w:pPr>
        <w:pStyle w:val="Heading1"/>
        <w:keepNext/>
        <w:spacing w:before="120" w:after="60" w:line="252" w:lineRule="auto"/>
      </w:pPr>
      <w:r>
        <w:rPr>
          <w:rFonts w:ascii="Cambria" w:hAnsi="Cambria" w:eastAsia="Cambria"/>
          <w:b/>
          <w:color w:val="1F4E79"/>
          <w:sz w:val="24"/>
        </w:rPr>
        <w:t>3. Priority and Escalation</w:t>
      </w:r>
    </w:p>
    <w:tbl>
      <w:tblPr>
        <w:tblW w:type="auto" w:w="0"/>
        <w:jc w:val="center"/>
        <w:tblLayout w:type="fixed"/>
        <w:tblLook w:val="04A0"/>
      </w:tblPr>
      <w:tblGrid>
        <w:gridCol w:w="5046"/>
        <w:gridCol w:w="5046"/>
        <w:gridCol w:w="5046"/>
      </w:tblGrid>
      <w:tr>
        <w:trPr>
          <w:tblHeader w:val="true"/>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Priority</w:t>
            </w:r>
          </w:p>
        </w:tc>
        <w:tc>
          <w:tcPr>
            <w:tcW w:type="dxa" w:w="48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Typical use</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Escalation expectation</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High</w:t>
            </w:r>
          </w:p>
        </w:tc>
        <w:tc>
          <w:tcPr>
            <w:tcW w:type="dxa" w:w="48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Material weakness affecting recovery of prioritized activities, significant governance gap, missing approved capability or repeated exercise/audit failure.</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Escalate to sponsor / top management if due date, resources or risk acceptance require decision.</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Medium</w:t>
            </w:r>
          </w:p>
        </w:tc>
        <w:tc>
          <w:tcPr>
            <w:tcW w:type="dxa" w:w="48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Important weakness that could reduce consistency, coordination, evidence or resilience but is not immediately critical.</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Track through BCMS governance and escalate if overdue or dependency becomes material.</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Low</w:t>
            </w:r>
          </w:p>
        </w:tc>
        <w:tc>
          <w:tcPr>
            <w:tcW w:type="dxa" w:w="48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Optimization, documentation refinement or efficiency improvement with limited immediate continuity impact.</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Manage through normal improvement tracking.</w:t>
            </w:r>
          </w:p>
        </w:tc>
      </w:tr>
    </w:tbl>
    <w:p>
      <w:pPr>
        <w:pStyle w:val="Heading1"/>
        <w:keepNext/>
        <w:spacing w:before="120" w:after="60" w:line="252" w:lineRule="auto"/>
      </w:pPr>
      <w:r>
        <w:rPr>
          <w:rFonts w:ascii="Cambria" w:hAnsi="Cambria" w:eastAsia="Cambria"/>
          <w:b/>
          <w:color w:val="1F4E79"/>
          <w:sz w:val="24"/>
        </w:rPr>
        <w:t>4. Illustrative Action Plan</w:t>
      </w:r>
    </w:p>
    <w:tbl>
      <w:tblPr>
        <w:tblW w:type="auto" w:w="0"/>
        <w:jc w:val="center"/>
        <w:tblLayout w:type="fixed"/>
        <w:tblLook w:val="04A0"/>
      </w:tblPr>
      <w:tblGrid>
        <w:gridCol w:w="1164"/>
        <w:gridCol w:w="1164"/>
        <w:gridCol w:w="1164"/>
        <w:gridCol w:w="1164"/>
        <w:gridCol w:w="1164"/>
        <w:gridCol w:w="1164"/>
        <w:gridCol w:w="1164"/>
        <w:gridCol w:w="1164"/>
        <w:gridCol w:w="1164"/>
        <w:gridCol w:w="1164"/>
        <w:gridCol w:w="1164"/>
        <w:gridCol w:w="1164"/>
        <w:gridCol w:w="1164"/>
      </w:tblGrid>
      <w:tr>
        <w:trPr>
          <w:tblHeader w:val="true"/>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Data Type</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Action ID</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Gap ID</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Theme</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Gap /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Continuity Impact</w:t>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Priority</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Remediation Action</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Owner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Due Date</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Status</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Evidence / Reference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3"/>
              </w:rPr>
              <w:t>Verification</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EX-BCMS-ACT-001</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EX-BCMS-GA-021</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BIA</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Impact tolerances and recovery priorities are defined inconsistently across business units.</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Recovery sequencing may not reflect enterprise priorities during disruption.</w:t>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High</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Standardize BIA time criteria, revalidate priority activities and obtain owner approval.</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Business Continuity Manager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2026-10-31</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In Progress</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revised BIA method / approvals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Pending</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EX-BCMS-ACT-002</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EX-BCMS-GA-030</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Strategy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Selected recovery strategy for a critical service relies on one alternate facility without capacity validation.</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Strategy may fail to provide required capacity during a site disruption.</w:t>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High</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Complete capacity test, document minimum resource requirement and approve fallback option.</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Facilities Resilience Lead</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2026-11-15</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Open</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capacity assessment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Pending</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EX-BCMS-ACT-003</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EX-BCMS-GA-036</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Supplier continuity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Continuity expectations for critical suppliers are not consistently defined or monitored.</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External dependency could delay recovery of prioritized activities.</w:t>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Medium</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Define continuity requirements and integrate them into critical-supplier review and monitoring.</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Supply Chain Manager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2026-12-15</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Not Started</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supplier review criteria</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Pending</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EX-BCMS-ACT-004</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EX-BCMS-GA-042</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Exercise programme</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Exercise schedule covers plan activation but not sustained operation at reduced capacity.</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Capability gaps may remain untested for longer disruptions.</w:t>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Medium</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Add a simulation that tests sustained delivery, resource constraints and handover between teams.</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Exercise Coordinator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2027-01-31</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In Progress</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exercise design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Partially Effective</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EX-BCMS-ACT-005</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EX-BCMS-GA-048</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Corrective action</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An earlier exercise action was implemented but effectiveness was not formally checked.</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Recurring weakness could remain hidden despite action closure.</w:t>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Low</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Perform targeted re-test, record evidence and update closure criteria.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BCMS Assurance Lead</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2026-09-30</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Closed</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Illustrative re-test record</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Effective</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3"/>
              </w:rPr>
            </w:r>
          </w:p>
        </w:tc>
      </w:tr>
    </w:tbl>
    <w:tbl>
      <w:tblPr>
        <w:tblW w:type="auto" w:w="0"/>
        <w:jc w:val="center"/>
        <w:tblLayout w:type="autofit"/>
        <w:tblLook w:val="04A0"/>
      </w:tblPr>
      <w:tblGrid>
        <w:gridCol w:w="15138"/>
      </w:tblGrid>
      <w:tr>
        <w:tc>
          <w:tcPr>
            <w:tcW w:type="dxa" w:w="15138"/>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The first 5 rows are Illustrative Data. Replace or delete them before operational use; do not present them as actual organizational gaps.</w:t>
            </w:r>
          </w:p>
        </w:tc>
      </w:tr>
    </w:tbl>
    <w:p>
      <w:pPr>
        <w:spacing w:after="20"/>
      </w:pPr>
    </w:p>
    <w:p>
      <w:pPr>
        <w:pStyle w:val="Heading1"/>
        <w:keepNext/>
        <w:spacing w:before="120" w:after="60" w:line="252" w:lineRule="auto"/>
      </w:pPr>
      <w:r>
        <w:rPr>
          <w:rFonts w:ascii="Cambria" w:hAnsi="Cambria" w:eastAsia="Cambria"/>
          <w:b/>
          <w:color w:val="1F4E79"/>
          <w:sz w:val="24"/>
        </w:rPr>
        <w:t>5. Closure Criteria</w:t>
      </w:r>
    </w:p>
    <w:p>
      <w:pPr>
        <w:pStyle w:val="ListBullet"/>
        <w:spacing w:before="0" w:after="50" w:line="252" w:lineRule="auto"/>
      </w:pPr>
      <w:r>
        <w:rPr>
          <w:rFonts w:ascii="Cambria" w:hAnsi="Cambria" w:eastAsia="Cambria"/>
          <w:sz w:val="20"/>
        </w:rPr>
        <w:t>required deliverable implemented and approved where applicable;</w:t>
      </w:r>
    </w:p>
    <w:p>
      <w:pPr>
        <w:pStyle w:val="ListBullet"/>
        <w:spacing w:before="0" w:after="50" w:line="252" w:lineRule="auto"/>
      </w:pPr>
      <w:r>
        <w:rPr>
          <w:rFonts w:ascii="Cambria" w:hAnsi="Cambria" w:eastAsia="Cambria"/>
          <w:sz w:val="20"/>
        </w:rPr>
        <w:t>evidence retained and traceable to the Action ID;</w:t>
      </w:r>
    </w:p>
    <w:p>
      <w:pPr>
        <w:pStyle w:val="ListBullet"/>
        <w:spacing w:before="0" w:after="50" w:line="252" w:lineRule="auto"/>
      </w:pPr>
      <w:r>
        <w:rPr>
          <w:rFonts w:ascii="Cambria" w:hAnsi="Cambria" w:eastAsia="Cambria"/>
          <w:sz w:val="20"/>
        </w:rPr>
        <w:t>dependent documents, BIA, risk assessments, plans or supplier/technology records updated as needed;</w:t>
      </w:r>
    </w:p>
    <w:p>
      <w:pPr>
        <w:pStyle w:val="ListBullet"/>
        <w:spacing w:before="0" w:after="50" w:line="252" w:lineRule="auto"/>
      </w:pPr>
      <w:r>
        <w:rPr>
          <w:rFonts w:ascii="Cambria" w:hAnsi="Cambria" w:eastAsia="Cambria"/>
          <w:sz w:val="20"/>
        </w:rPr>
        <w:t>effectiveness verified for material capability gaps;</w:t>
      </w:r>
    </w:p>
    <w:p>
      <w:pPr>
        <w:pStyle w:val="ListBullet"/>
        <w:spacing w:before="0" w:after="50" w:line="252" w:lineRule="auto"/>
      </w:pPr>
      <w:r>
        <w:rPr>
          <w:rFonts w:ascii="Cambria" w:hAnsi="Cambria" w:eastAsia="Cambria"/>
          <w:sz w:val="20"/>
        </w:rPr>
        <w:t>residual risk / accepted limitation approved at the appropriate governance level if full remediation is not feasible.</w:t>
      </w:r>
    </w:p>
    <w:p>
      <w:pPr>
        <w:pStyle w:val="Heading1"/>
        <w:keepNext/>
        <w:spacing w:before="120" w:after="60" w:line="252" w:lineRule="auto"/>
      </w:pPr>
      <w:r>
        <w:rPr>
          <w:rFonts w:ascii="Cambria" w:hAnsi="Cambria" w:eastAsia="Cambria"/>
          <w:b/>
          <w:color w:val="1F4E79"/>
          <w:sz w:val="24"/>
        </w:rPr>
        <w:t>6. Review and Reporting</w:t>
      </w:r>
    </w:p>
    <w:p>
      <w:pPr>
        <w:spacing w:before="0" w:after="80" w:line="252" w:lineRule="auto"/>
      </w:pPr>
      <w:r>
        <w:rPr>
          <w:rFonts w:ascii="Cambria" w:hAnsi="Cambria" w:eastAsia="Cambria"/>
          <w:i w:val="0"/>
          <w:sz w:val="20"/>
        </w:rPr>
        <w:t>Review high-priority and overdue actions at the agreed BCMS governance cadence. Report blockers, resource decisions, residual risks and actions affecting prioritized activities to the appropriate management level. Carry unresolved material actions into management review.</w:t>
      </w:r>
    </w:p>
    <w:p>
      <w:pPr>
        <w:pStyle w:val="Heading1"/>
        <w:keepNext/>
        <w:spacing w:before="120" w:after="60" w:line="252" w:lineRule="auto"/>
      </w:pPr>
      <w:r>
        <w:rPr>
          <w:rFonts w:ascii="Cambria" w:hAnsi="Cambria" w:eastAsia="Cambria"/>
          <w:b/>
          <w:color w:val="1F4E79"/>
          <w:sz w:val="24"/>
        </w:rPr>
        <w:t>References</w:t>
      </w:r>
    </w:p>
    <w:p>
      <w:pPr>
        <w:pStyle w:val="ListBullet"/>
        <w:spacing w:before="0" w:after="50" w:line="252" w:lineRule="auto"/>
      </w:pPr>
      <w:r>
        <w:rPr>
          <w:rFonts w:ascii="Cambria" w:hAnsi="Cambria" w:eastAsia="Cambria"/>
          <w:sz w:val="20"/>
        </w:rPr>
        <w:t>ISO 22301:2019 — Security and resilience — Business continuity management systems — Requirements.</w:t>
      </w:r>
    </w:p>
    <w:p>
      <w:pPr>
        <w:pStyle w:val="ListBullet"/>
        <w:spacing w:before="0" w:after="50" w:line="252" w:lineRule="auto"/>
      </w:pPr>
      <w:r>
        <w:rPr>
          <w:rFonts w:ascii="Cambria" w:hAnsi="Cambria" w:eastAsia="Cambria"/>
          <w:sz w:val="20"/>
        </w:rPr>
        <w:t>ISO 22301:2019/Amd 1:2024 — Climate action changes.</w:t>
      </w:r>
    </w:p>
    <w:p>
      <w:pPr>
        <w:pStyle w:val="ListBullet"/>
        <w:spacing w:before="0" w:after="50" w:line="252" w:lineRule="auto"/>
      </w:pPr>
      <w:r>
        <w:rPr>
          <w:rFonts w:ascii="Cambria" w:hAnsi="Cambria" w:eastAsia="Cambria"/>
          <w:sz w:val="20"/>
        </w:rPr>
        <w:t>ISO 22313:2020 — Security and resilience — Business continuity management systems — Guidance on the use of ISO 22301.</w:t>
      </w:r>
    </w:p>
    <w:p>
      <w:pPr>
        <w:pStyle w:val="ListBullet"/>
        <w:spacing w:before="0" w:after="50" w:line="252" w:lineRule="auto"/>
      </w:pPr>
      <w:r>
        <w:rPr>
          <w:rFonts w:ascii="Cambria" w:hAnsi="Cambria" w:eastAsia="Cambria"/>
          <w:sz w:val="20"/>
        </w:rPr>
        <w:t>Controlled organization-specific BCMS policies, BIA records, risk assessments, strategies, plans, exercise records, audit records and improvement actions.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3028"/>
        <w:gridCol w:w="3028"/>
        <w:gridCol w:w="3028"/>
        <w:gridCol w:w="3028"/>
        <w:gridCol w:w="3028"/>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Business Continuity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6838" w:h="11906"/>
      <w:pgMar w:top="850" w:right="850" w:bottom="850" w:left="850"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Business Continuity Gap Analysis Action Plan</w:t>
          </w:r>
        </w:p>
      </w:tc>
      <w:tc>
        <w:tcPr>
          <w:tcW w:type="dxa" w:w="2324"/>
          <w:tcMar>
            <w:top w:w="20" w:type="dxa"/>
            <w:left w:w="40" w:type="dxa"/>
            <w:bottom w:w="20" w:type="dxa"/>
            <w:right w:w="40" w:type="dxa"/>
          </w:tcMar>
        </w:tcPr>
        <w:p>
          <w:pPr>
            <w:jc w:val="right"/>
          </w:pPr>
          <w:r>
            <w:rPr>
              <w:rFonts w:ascii="Cambria" w:hAnsi="Cambria" w:eastAsia="Cambria"/>
              <w:b/>
              <w:color w:val="666666"/>
              <w:sz w:val="16"/>
            </w:rPr>
            <w:t>BCMS-PLN-002</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