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60" w:after="80"/>
        <w:pBdr>
          <w:bottom w:val="single" w:sz="8" w:color="1F4E79" w:space="4"/>
        </w:pBdr>
      </w:pPr>
      <w:r>
        <w:rPr>
          <w:rFonts w:ascii="Cambria" w:hAnsi="Cambria" w:eastAsia="Cambria"/>
          <w:b/>
          <w:color w:val="1F4E79"/>
          <w:sz w:val="40"/>
        </w:rPr>
        <w:t>BUSINESS CONTINUITY AUDIT GUIDANCE</w:t>
      </w:r>
    </w:p>
    <w:p>
      <w:pPr>
        <w:spacing w:after="120"/>
      </w:pPr>
      <w:r>
        <w:rPr>
          <w:rFonts w:ascii="Cambria" w:hAnsi="Cambria" w:eastAsia="Cambria"/>
          <w:b/>
          <w:sz w:val="23"/>
        </w:rPr>
        <w:t>ISO 22301:2019 + Amd 1:2024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Document Owner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Approver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Lead Business Continuity Auditor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Head of Internal Audit / BCMS Assurance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Classification: INTERNAL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Next Review: 2027-09-18</w:t>
            </w:r>
          </w:p>
        </w:tc>
      </w:tr>
    </w:tbl>
    <w:p>
      <w:pPr>
        <w:spacing w:after="4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1. Purpose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Provide practical guidance for planning and performing effective internal BCMS audits with emphasis on continuity capability, evidence traceability and risk-based sampling.</w:t>
      </w:r>
    </w:p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The audit should evaluate whether the BCMS can support approved continuity outcomes, not only whether required documents exist. Use exercise/evaluation evidence and end-to-end traceability wherever possible.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2. Audit Mindset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Audit the system and capability, not just the business continuity team.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Follow business and dependency trails across functions.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Challenge assumptions supporting recovery time, minimum capacity and resource availability.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Use exercise, change and incident evidence to test whether documented arrangements work in practice.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Separate evidence-based nonconformity from preference or “better practice”.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3. Risk-Based Audit Planning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89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Planning input</w:t>
            </w:r>
          </w:p>
        </w:tc>
        <w:tc>
          <w:tcPr>
            <w:tcW w:type="dxa" w:w="646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How to use it</w:t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Prioritized activities / BIA</w:t>
            </w:r>
          </w:p>
        </w:tc>
        <w:tc>
          <w:tcPr>
            <w:tcW w:type="dxa" w:w="646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Focus samples on activities with high impact and tight recovery priorities.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Critical dependencies</w:t>
            </w:r>
          </w:p>
        </w:tc>
        <w:tc>
          <w:tcPr>
            <w:tcW w:type="dxa" w:w="646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Select technology, supplier, facility, people or information dependencies that could prevent recovery.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Recent changes</w:t>
            </w:r>
          </w:p>
        </w:tc>
        <w:tc>
          <w:tcPr>
            <w:tcW w:type="dxa" w:w="646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Increase sampling after restructuring, technology migration, supplier change, relocation or new products/services.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Exercise / incident results</w:t>
            </w:r>
          </w:p>
        </w:tc>
        <w:tc>
          <w:tcPr>
            <w:tcW w:type="dxa" w:w="646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Follow repeat weaknesses, failed objectives and overdue actions.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Prior audit / management review</w:t>
            </w:r>
          </w:p>
        </w:tc>
        <w:tc>
          <w:tcPr>
            <w:tcW w:type="dxa" w:w="646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Test closure and effectiveness of previous decisions/actions.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4. End-to-End Audit Trails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Trail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What to test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Product/service to recovery capability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Product/service -&gt; prioritized activity -&gt; BIA -&gt; recovery priority -&gt; resource/dependency -&gt; strategy -&gt; plan -&gt; exercise/evaluation.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Critical technology dependency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BIA dependency -&gt; technology recovery target/capability -&gt; test evidence -&gt; plan integration -&gt; residual gap/decision.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Critical supplier dependency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BIA/supplier criticality -&gt; continuity requirement -&gt; supplier evidence/monitoring -&gt; fallback/alternate arrangement -&gt; plan/exercise.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Corrective action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Exercise/audit finding -&gt; cause -&gt; action -&gt; implementation -&gt; re-test/effectiveness evidence -&gt; closure.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5. Interview Guidance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Ask business owners to explain recovery priorities and minimum capacity in operational terms.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Ask plan owners what would trigger activation, who makes decisions and what evidence/resources they need.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Ask technology/facility/supplier owners to explain capability limits and assumptions.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Ask exercise participants what changed after the last exercise and how action effectiveness was checked.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Compare interview answers to BIA, plans and actual records for consistency.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6. Evidence Quality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Evidence level</w:t>
            </w:r>
          </w:p>
        </w:tc>
        <w:tc>
          <w:tcPr>
            <w:tcW w:type="dxa" w:w="731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Examples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Strong</w:t>
            </w:r>
          </w:p>
        </w:tc>
        <w:tc>
          <w:tcPr>
            <w:tcW w:type="dxa" w:w="731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Current approved BIA; tested recovery capability; exercise result with objective criteria; current supplier/technology evidence; verified action closure.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Moderate</w:t>
            </w:r>
          </w:p>
        </w:tc>
        <w:tc>
          <w:tcPr>
            <w:tcW w:type="dxa" w:w="731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Current documented arrangement supported by interviews and some operating evidence but limited testing.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Weak</w:t>
            </w:r>
          </w:p>
        </w:tc>
        <w:tc>
          <w:tcPr>
            <w:tcW w:type="dxa" w:w="731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Undated plan, unapproved assumption, verbal claim, outdated contact list, target without validated capability, action closed without verification.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7. Common Audit Traps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Trap</w:t>
            </w:r>
          </w:p>
        </w:tc>
        <w:tc>
          <w:tcPr>
            <w:tcW w:type="dxa" w:w="623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Better approach</w:t>
            </w:r>
          </w:p>
        </w:tc>
      </w:tr>
      <w:tr>
        <w:trPr>
          <w:cantSplit/>
        </w:trPr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Treating every missing field as nonconformity</w:t>
            </w:r>
          </w:p>
        </w:tc>
        <w:tc>
          <w:tcPr>
            <w:tcW w:type="dxa" w:w="623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Determine whether the missing information is necessary to meet the criterion and affects control/capability.</w:t>
            </w:r>
          </w:p>
        </w:tc>
      </w:tr>
      <w:tr>
        <w:trPr>
          <w:cantSplit/>
        </w:trPr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Accepting exercise attendance as effectiveness</w:t>
            </w:r>
          </w:p>
        </w:tc>
        <w:tc>
          <w:tcPr>
            <w:tcW w:type="dxa" w:w="623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Review objectives, observations, decisions, recovery performance, weaknesses and follow-up.</w:t>
            </w:r>
          </w:p>
        </w:tc>
      </w:tr>
      <w:tr>
        <w:trPr>
          <w:cantSplit/>
        </w:trPr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Auditing only plan documents</w:t>
            </w:r>
          </w:p>
        </w:tc>
        <w:tc>
          <w:tcPr>
            <w:tcW w:type="dxa" w:w="623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Trace to BIA, strategy, dependencies, training, communications and capability evidence.</w:t>
            </w:r>
          </w:p>
        </w:tc>
      </w:tr>
      <w:tr>
        <w:trPr>
          <w:cantSplit/>
        </w:trPr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Assuming RTO equals proven recovery capability</w:t>
            </w:r>
          </w:p>
        </w:tc>
        <w:tc>
          <w:tcPr>
            <w:tcW w:type="dxa" w:w="623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Look for capacity and test evidence supporting the target.</w:t>
            </w:r>
          </w:p>
        </w:tc>
      </w:tr>
      <w:tr>
        <w:trPr>
          <w:cantSplit/>
        </w:trPr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Ignoring external dependencies</w:t>
            </w:r>
          </w:p>
        </w:tc>
        <w:tc>
          <w:tcPr>
            <w:tcW w:type="dxa" w:w="623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Sample critical suppliers, cloud/technology providers, utilities, logistics or alternate facilities as relevant.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8. Finding Writing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A strong finding identifies the applicable criterion/theme, the objective evidence sampled and the demonstrated gap. Avoid vague statements such as “plan needs improvement” without evidence. Keep legal or contractual conclusions within verified competence and source evidence.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Element</w:t>
            </w:r>
          </w:p>
        </w:tc>
        <w:tc>
          <w:tcPr>
            <w:tcW w:type="dxa" w:w="680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Example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Criterion / expectation</w:t>
            </w:r>
          </w:p>
        </w:tc>
        <w:tc>
          <w:tcPr>
            <w:tcW w:type="dxa" w:w="680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Approved BIA method requires use of the defined time-based impact criteria.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Objective evidence</w:t>
            </w:r>
          </w:p>
        </w:tc>
        <w:tc>
          <w:tcPr>
            <w:tcW w:type="dxa" w:w="680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Two sampled BIAs used different time bands and did not show approved exception rationale.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Gap statement</w:t>
            </w:r>
          </w:p>
        </w:tc>
        <w:tc>
          <w:tcPr>
            <w:tcW w:type="dxa" w:w="680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The sampled BIAs were not performed consistently with the approved method.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Impact / risk context</w:t>
            </w:r>
          </w:p>
        </w:tc>
        <w:tc>
          <w:tcPr>
            <w:tcW w:type="dxa" w:w="680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Inconsistent impact timing may lead to conflicting recovery priorities.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9. Illustrative Audit Sampling Log</w:t>
      </w:r>
    </w:p>
    <w:tbl>
      <w:tblPr>
        <w:tblW w:type="auto" w:w="0"/>
        <w:jc w:val="center"/>
        <w:tblLayout w:type="fixed"/>
        <w:tblLook w:val="04A0"/>
      </w:tblPr>
      <w:tblGrid>
        <w:gridCol w:w="1169"/>
        <w:gridCol w:w="1169"/>
        <w:gridCol w:w="1169"/>
        <w:gridCol w:w="1169"/>
        <w:gridCol w:w="1169"/>
        <w:gridCol w:w="1169"/>
        <w:gridCol w:w="1169"/>
        <w:gridCol w:w="1169"/>
      </w:tblGrid>
      <w:tr>
        <w:trPr>
          <w:tblHeader w:val="true"/>
        </w:trPr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Data Type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Sample ID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Theme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Sample / Process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Evidence Focus</w:t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Result</w:t>
            </w:r>
          </w:p>
        </w:tc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Risk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Notes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Example Data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EX-BCMS-SMP-001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BIA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Critical Customer Service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BIA approval and dependency mapping</w:t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Conforming</w:t>
            </w:r>
          </w:p>
        </w:tc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Low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Example Data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EX-BCMS-SMP-002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Technology recovery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Core application supporting prioritized activity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Recovery test evidence and capacity</w:t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OFI</w:t>
            </w:r>
          </w:p>
        </w:tc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Medium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Example Data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EX-BCMS-SMP-003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Supplier continuity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Single-source critical supplier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Continuity evidence and fallback arrangement</w:t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Minor NC</w:t>
            </w:r>
          </w:p>
        </w:tc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Example Data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EX-BCMS-SMP-004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Exercise programme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Cross-functional exercise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Objective achievement and follow-up</w:t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Conforming</w:t>
            </w:r>
          </w:p>
        </w:tc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Medium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Example Data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EX-BCMS-SMP-005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Corrective action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Prior exercise action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Effectiveness verification</w:t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Major NC</w:t>
            </w:r>
          </w:p>
        </w:tc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Actual Data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Actual Data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Actual Data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</w:tr>
    </w:tbl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The sampling rows above are Illustrative Data only. Replace them with the actual audit sample plan / evidence references for the assigned audit.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10. Follow-Up and Closure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Verify correction and corrective action proportionate to risk. For material continuity capability weaknesses, follow-up should normally include re-test, targeted exercise, evidence of capacity, or another method demonstrating the weakness has been effectively addressed.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References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ISO 22301:2019 — Security and resilience — Business continuity management systems — Requirements.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ISO 22301:2019/Amd 1:2024 — Climate action changes.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ISO 22313:2020 — Security and resilience — Business continuity management systems — Guidance on the use of ISO 22301.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Controlled organization-specific BCMS policies, BIA records, risk assessments, strategies, plans, exercise records, audit records and improvement actions.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Revision and Approval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Version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Date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Change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Document Owner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Approver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1.0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2026-09-18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Initial issue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Lead Business Continuity Auditor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Head of Internal Audit / BCMS Assurance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spacing w:after="20"/>
      <w:jc w:val="center"/>
    </w:pPr>
    <w:r/>
    <w:r>
      <w:rPr>
        <w:rFonts w:ascii="Cambria" w:hAnsi="Cambria" w:eastAsia="Cambria"/>
        <w:color w:val="666666"/>
        <w:sz w:val="16"/>
      </w:rPr>
      <w:t>Copyright © ISO Toolkits | www.iso-toolkits.org | info@iso-toolkits.org</w:t>
    </w:r>
  </w:p>
  <w:p>
    <w:pPr>
      <w:spacing w:after="0"/>
      <w:jc w:val="center"/>
    </w:pPr>
    <w:r>
      <w:rPr>
        <w:rFonts w:ascii="Cambria" w:hAnsi="Cambria" w:eastAsia="Cambria"/>
        <w:color w:val="666666"/>
        <w:sz w:val="16"/>
      </w:rPr>
      <w:t xml:space="preserve">CONTROLLED DOCUMENT | INTERNAL | Page </w:t>
    </w:r>
    <w:r>
      <w:rPr>
        <w:rFonts w:ascii="Cambria" w:hAnsi="Cambria" w:eastAsia="Cambria"/>
        <w:color w:val="666666"/>
        <w:sz w:val="16"/>
      </w:rPr>
      <w:fldChar w:fldCharType="begin"/>
      <w:instrText xml:space="preserve"> PAGE </w:instrText>
      <w:fldChar w:fldCharType="end"/>
    </w:r>
    <w:r>
      <w:rPr>
        <w:rFonts w:ascii="Cambria" w:hAnsi="Cambria" w:eastAsia="Cambria"/>
        <w:color w:val="666666"/>
        <w:sz w:val="16"/>
      </w:rPr>
      <w:t xml:space="preserve"> of </w:t>
    </w:r>
    <w:r>
      <w:rPr>
        <w:rFonts w:ascii="Cambria" w:hAnsi="Cambria" w:eastAsia="Cambria"/>
        <w:color w:val="666666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  <w:spacing w:after="0"/>
    </w:pPr>
    <w:r/>
  </w:p>
  <w:tbl>
    <w:tblPr>
      <w:tblW w:type="auto" w:w="0"/>
      <w:jc w:val="center"/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181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ORGANIZATION</w:t>
            <w:br/>
            <w:t>LOGO</w:t>
          </w:r>
        </w:p>
      </w:tc>
      <w:tc>
        <w:tcPr>
          <w:tcW w:type="dxa" w:w="5216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[ORGANIZATION NAME]</w:t>
            <w:br/>
          </w:r>
          <w:r>
            <w:rPr>
              <w:rFonts w:ascii="Cambria" w:hAnsi="Cambria" w:eastAsia="Cambria"/>
              <w:b/>
              <w:color w:val="1F4E79"/>
              <w:sz w:val="18"/>
            </w:rPr>
            <w:t>Business Continuity Audit Guidance</w:t>
          </w:r>
        </w:p>
      </w:tc>
      <w:tc>
        <w:tcPr>
          <w:tcW w:type="dxa" w:w="232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right"/>
          </w:pPr>
          <w:r>
            <w:rPr>
              <w:rFonts w:ascii="Cambria" w:hAnsi="Cambria" w:eastAsia="Cambria"/>
              <w:b/>
              <w:color w:val="666666"/>
              <w:sz w:val="16"/>
            </w:rPr>
            <w:t>BCMS-AUD-002</w:t>
            <w:br/>
          </w:r>
          <w:r>
            <w:rPr>
              <w:rFonts w:ascii="Cambria" w:hAnsi="Cambria" w:eastAsia="Cambria"/>
              <w:color w:val="666666"/>
              <w:sz w:val="16"/>
            </w:rPr>
            <w:t>Version 1.0</w:t>
            <w:br/>
          </w:r>
          <w:r>
            <w:rPr>
              <w:rFonts w:ascii="Cambria" w:hAnsi="Cambria" w:eastAsia="Cambria"/>
              <w:color w:val="666666"/>
              <w:sz w:val="16"/>
            </w:rPr>
            <w:t>Effective 2026-09-18</w:t>
          </w:r>
        </w:p>
      </w:tc>
    </w:tr>
  </w:tbl>
  <w:p>
    <w:pPr>
      <w:spacing w:after="0"/>
      <w:pBdr>
        <w:bottom w:val="single" w:sz="8" w:color="1F4E79" w:space="1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mbria" w:hAnsi="Cambri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mbria" w:hAnsi="Cambria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dcterms:created xsi:type="dcterms:W3CDTF">2013-12-23T23:15:00Z</dcterms:created>
  <dcterms:modified xsi:type="dcterms:W3CDTF">2013-12-23T23:15:00Z</dcterms:modified>
  <cp:category/>
</cp:coreProperties>
</file>